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C495" w14:textId="5FCC8C75" w:rsidR="00624D84" w:rsidRDefault="00624D84" w:rsidP="00624D84">
      <w:pPr>
        <w:pStyle w:val="CH"/>
      </w:pPr>
      <w:bookmarkStart w:id="0" w:name="historyclause"/>
      <w:r w:rsidRPr="00B070F5">
        <w:t>3GPP RAN WG</w:t>
      </w:r>
      <w:r>
        <w:t>4</w:t>
      </w:r>
      <w:r w:rsidRPr="00B070F5">
        <w:t xml:space="preserve"> Meeting #</w:t>
      </w:r>
      <w:r>
        <w:t>95e</w:t>
      </w:r>
      <w:r>
        <w:tab/>
      </w:r>
      <w:r>
        <w:tab/>
      </w:r>
      <w:r w:rsidR="00682F97" w:rsidRPr="00682F97">
        <w:t>R4-2006364</w:t>
      </w:r>
    </w:p>
    <w:p w14:paraId="50DC9730" w14:textId="0AE662B9" w:rsidR="00D309CC" w:rsidRPr="00FD166F" w:rsidRDefault="00624D84" w:rsidP="00624D84">
      <w:pPr>
        <w:pStyle w:val="CH"/>
        <w:tabs>
          <w:tab w:val="clear" w:pos="7920"/>
        </w:tabs>
        <w:rPr>
          <w:b w:val="0"/>
        </w:rPr>
      </w:pPr>
      <w:r w:rsidRPr="00AD1007">
        <w:t>Electronic meeting, 25th May – 5th June 2020</w:t>
      </w:r>
    </w:p>
    <w:p w14:paraId="39A0EE25" w14:textId="77777777" w:rsidR="00D309CC" w:rsidRDefault="00D309CC" w:rsidP="00D309CC">
      <w:pPr>
        <w:tabs>
          <w:tab w:val="left" w:pos="2160"/>
        </w:tabs>
        <w:rPr>
          <w:rFonts w:ascii="Arial" w:hAnsi="Arial" w:cs="Arial"/>
          <w:b/>
        </w:rPr>
      </w:pPr>
    </w:p>
    <w:p w14:paraId="6DDCE159" w14:textId="77B69926" w:rsidR="00D309CC" w:rsidRPr="0008103A" w:rsidRDefault="00D309CC" w:rsidP="00D309CC">
      <w:pPr>
        <w:pStyle w:val="CH"/>
        <w:rPr>
          <w:b w:val="0"/>
        </w:rPr>
      </w:pPr>
      <w:r w:rsidRPr="0008103A">
        <w:t>Agenda item:</w:t>
      </w:r>
      <w:r>
        <w:tab/>
      </w:r>
      <w:r w:rsidR="00682F97" w:rsidRPr="00682F97">
        <w:t>6.13.1.5</w:t>
      </w:r>
    </w:p>
    <w:p w14:paraId="4DBE005A" w14:textId="77777777" w:rsidR="00D309CC" w:rsidRPr="0008103A" w:rsidRDefault="00D309CC" w:rsidP="00D309CC">
      <w:pPr>
        <w:pStyle w:val="CH"/>
        <w:rPr>
          <w:b w:val="0"/>
        </w:rPr>
      </w:pPr>
      <w:r>
        <w:t>Source:</w:t>
      </w:r>
      <w:r>
        <w:tab/>
        <w:t>Apple Inc.</w:t>
      </w:r>
    </w:p>
    <w:p w14:paraId="0D2061A1" w14:textId="24CD6BB0" w:rsidR="00D309CC" w:rsidRDefault="00D309CC" w:rsidP="006C2531">
      <w:pPr>
        <w:pStyle w:val="CH"/>
        <w:ind w:left="2250" w:hanging="2250"/>
      </w:pPr>
      <w:r w:rsidRPr="0008103A">
        <w:t>Title:</w:t>
      </w:r>
      <w:r w:rsidRPr="0008103A">
        <w:tab/>
      </w:r>
      <w:r w:rsidR="00682F97" w:rsidRPr="00682F97">
        <w:t>Views on Tx diversity and Tx carrier switching</w:t>
      </w:r>
    </w:p>
    <w:p w14:paraId="052B1E0C" w14:textId="56F8F71B" w:rsidR="00104BC6" w:rsidRDefault="00104BC6" w:rsidP="00D309CC">
      <w:pPr>
        <w:pStyle w:val="CH"/>
      </w:pPr>
      <w:r>
        <w:t>WI/SI:</w:t>
      </w:r>
      <w:r>
        <w:tab/>
      </w:r>
      <w:r w:rsidR="00B322A5" w:rsidRPr="00B322A5">
        <w:t>NR_RF_FR2_req_enh</w:t>
      </w:r>
      <w:r w:rsidR="00CD651B" w:rsidRPr="00752075">
        <w:t>-Core</w:t>
      </w:r>
    </w:p>
    <w:p w14:paraId="6C6D1281" w14:textId="536BF031" w:rsidR="00104BC6" w:rsidRDefault="00104BC6" w:rsidP="00D309CC">
      <w:pPr>
        <w:pStyle w:val="CH"/>
        <w:rPr>
          <w:b w:val="0"/>
        </w:rPr>
      </w:pPr>
      <w:r>
        <w:t>Release:</w:t>
      </w:r>
      <w:r>
        <w:tab/>
      </w:r>
      <w:r w:rsidRPr="00CD651B">
        <w:t>Rel-</w:t>
      </w:r>
      <w:r w:rsidR="00CD651B" w:rsidRPr="00CD651B">
        <w:t>16</w:t>
      </w:r>
    </w:p>
    <w:p w14:paraId="2E4E044D" w14:textId="05A2910C" w:rsidR="00D309CC" w:rsidRDefault="00D309CC" w:rsidP="00D309CC">
      <w:pPr>
        <w:pStyle w:val="CH"/>
      </w:pPr>
      <w:r>
        <w:t>Document for:</w:t>
      </w:r>
      <w:r>
        <w:tab/>
      </w:r>
      <w:r w:rsidR="006C2531">
        <w:t>Discussion</w:t>
      </w:r>
    </w:p>
    <w:p w14:paraId="0207DB43" w14:textId="77777777" w:rsidR="00D46431" w:rsidRPr="0008103A" w:rsidRDefault="00D46431" w:rsidP="00D309CC">
      <w:pPr>
        <w:pStyle w:val="CH"/>
        <w:rPr>
          <w:b w:val="0"/>
        </w:rPr>
      </w:pPr>
    </w:p>
    <w:p w14:paraId="0273524A" w14:textId="5C691477" w:rsidR="008E7986" w:rsidRDefault="008E7986" w:rsidP="008E7986">
      <w:pPr>
        <w:pStyle w:val="Heading1"/>
      </w:pPr>
      <w:r>
        <w:t>1</w:t>
      </w:r>
      <w:r>
        <w:tab/>
      </w:r>
      <w:r w:rsidRPr="004D3578">
        <w:t>Introduction</w:t>
      </w:r>
      <w:r>
        <w:t xml:space="preserve"> </w:t>
      </w:r>
    </w:p>
    <w:p w14:paraId="464305CD" w14:textId="5BB9C2BA" w:rsidR="00244940" w:rsidRDefault="00682F97" w:rsidP="00244940">
      <w:pPr>
        <w:rPr>
          <w:lang w:val="en-GB"/>
        </w:rPr>
      </w:pPr>
      <w:r w:rsidRPr="00682F97">
        <w:rPr>
          <w:lang w:val="en-GB"/>
        </w:rPr>
        <w:t>The Rel-16 work item on FR1 RF enhancements includes an objective to define requirements for UE Tx carrier switching</w:t>
      </w:r>
      <w:r w:rsidR="009E56A5">
        <w:rPr>
          <w:lang w:val="en-GB"/>
        </w:rPr>
        <w:t xml:space="preserve"> </w:t>
      </w:r>
      <w:r w:rsidR="009E56A5">
        <w:rPr>
          <w:lang w:val="en-GB"/>
        </w:rPr>
        <w:fldChar w:fldCharType="begin"/>
      </w:r>
      <w:r w:rsidR="009E56A5">
        <w:rPr>
          <w:lang w:val="en-GB"/>
        </w:rPr>
        <w:instrText xml:space="preserve"> REF _Ref32369735 \r \h </w:instrText>
      </w:r>
      <w:r w:rsidR="009E56A5">
        <w:rPr>
          <w:lang w:val="en-GB"/>
        </w:rPr>
      </w:r>
      <w:r w:rsidR="009E56A5">
        <w:rPr>
          <w:lang w:val="en-GB"/>
        </w:rPr>
        <w:fldChar w:fldCharType="separate"/>
      </w:r>
      <w:r w:rsidR="00F57695">
        <w:rPr>
          <w:lang w:val="en-GB"/>
        </w:rPr>
        <w:t>[1]</w:t>
      </w:r>
      <w:r w:rsidR="009E56A5">
        <w:rPr>
          <w:lang w:val="en-GB"/>
        </w:rPr>
        <w:fldChar w:fldCharType="end"/>
      </w:r>
      <w:r w:rsidR="009E56A5">
        <w:rPr>
          <w:lang w:val="en-GB"/>
        </w:rPr>
        <w:t>:</w:t>
      </w:r>
    </w:p>
    <w:p w14:paraId="37A675D7" w14:textId="53E84D5D" w:rsidR="006D601F" w:rsidRDefault="006D601F" w:rsidP="00244940">
      <w:pPr>
        <w:rPr>
          <w:lang w:val="en-GB"/>
        </w:rPr>
      </w:pPr>
    </w:p>
    <w:tbl>
      <w:tblPr>
        <w:tblStyle w:val="TableGrid"/>
        <w:tblW w:w="0" w:type="auto"/>
        <w:tblLook w:val="04A0" w:firstRow="1" w:lastRow="0" w:firstColumn="1" w:lastColumn="0" w:noHBand="0" w:noVBand="1"/>
      </w:tblPr>
      <w:tblGrid>
        <w:gridCol w:w="9631"/>
      </w:tblGrid>
      <w:tr w:rsidR="00682F97" w14:paraId="27A8CA75" w14:textId="77777777" w:rsidTr="00FA7B72">
        <w:tc>
          <w:tcPr>
            <w:tcW w:w="9631" w:type="dxa"/>
          </w:tcPr>
          <w:p w14:paraId="21D99C4C" w14:textId="77777777" w:rsidR="00682F97" w:rsidRPr="00682F97" w:rsidRDefault="00682F97" w:rsidP="00682F97">
            <w:pPr>
              <w:numPr>
                <w:ilvl w:val="0"/>
                <w:numId w:val="12"/>
              </w:numPr>
              <w:overflowPunct w:val="0"/>
              <w:autoSpaceDE w:val="0"/>
              <w:autoSpaceDN w:val="0"/>
              <w:adjustRightInd w:val="0"/>
              <w:spacing w:after="180"/>
              <w:jc w:val="both"/>
              <w:textAlignment w:val="baseline"/>
              <w:rPr>
                <w:sz w:val="20"/>
                <w:szCs w:val="20"/>
                <w:lang w:eastAsia="ja-JP"/>
              </w:rPr>
            </w:pPr>
            <w:r w:rsidRPr="00682F97">
              <w:rPr>
                <w:sz w:val="20"/>
                <w:szCs w:val="2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682F97" w:rsidRPr="00682F97" w14:paraId="2B7058D8" w14:textId="77777777" w:rsidTr="00FA7B7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4DD25F" w14:textId="77777777" w:rsidR="00682F97" w:rsidRPr="00682F97" w:rsidRDefault="00682F97" w:rsidP="00682F97">
                  <w:pPr>
                    <w:rPr>
                      <w:sz w:val="20"/>
                      <w:szCs w:val="20"/>
                      <w:lang w:eastAsia="zh-CN"/>
                    </w:rPr>
                  </w:pPr>
                  <w:r w:rsidRPr="00682F97">
                    <w:rPr>
                      <w:color w:val="000000"/>
                      <w:kern w:val="24"/>
                      <w:sz w:val="20"/>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8C5A49" w14:textId="77777777" w:rsidR="00682F97" w:rsidRPr="00682F97" w:rsidRDefault="00682F97" w:rsidP="00682F97">
                  <w:pPr>
                    <w:rPr>
                      <w:sz w:val="20"/>
                      <w:szCs w:val="20"/>
                      <w:lang w:eastAsia="zh-CN"/>
                    </w:rPr>
                  </w:pPr>
                  <w:r w:rsidRPr="00682F97">
                    <w:rPr>
                      <w:color w:val="000000"/>
                      <w:kern w:val="24"/>
                      <w:sz w:val="20"/>
                      <w:szCs w:val="20"/>
                      <w:lang w:eastAsia="zh-CN"/>
                    </w:rPr>
                    <w:t>1 Tx on carrier 1 and 1 Tx on carrier 2</w:t>
                  </w:r>
                </w:p>
              </w:tc>
            </w:tr>
            <w:tr w:rsidR="00682F97" w:rsidRPr="00682F97" w14:paraId="450F0949" w14:textId="77777777" w:rsidTr="00FA7B7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0D2466" w14:textId="77777777" w:rsidR="00682F97" w:rsidRPr="00682F97" w:rsidRDefault="00682F97" w:rsidP="00682F97">
                  <w:pPr>
                    <w:rPr>
                      <w:sz w:val="20"/>
                      <w:szCs w:val="20"/>
                      <w:lang w:eastAsia="zh-CN"/>
                    </w:rPr>
                  </w:pPr>
                  <w:r w:rsidRPr="00682F97">
                    <w:rPr>
                      <w:color w:val="000000"/>
                      <w:kern w:val="24"/>
                      <w:sz w:val="20"/>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3A0CEF" w14:textId="77777777" w:rsidR="00682F97" w:rsidRPr="00682F97" w:rsidRDefault="00682F97" w:rsidP="00682F97">
                  <w:pPr>
                    <w:rPr>
                      <w:sz w:val="20"/>
                      <w:szCs w:val="20"/>
                      <w:lang w:eastAsia="zh-CN"/>
                    </w:rPr>
                  </w:pPr>
                  <w:r w:rsidRPr="00682F97">
                    <w:rPr>
                      <w:color w:val="000000"/>
                      <w:kern w:val="24"/>
                      <w:sz w:val="20"/>
                      <w:szCs w:val="20"/>
                      <w:lang w:eastAsia="zh-CN"/>
                    </w:rPr>
                    <w:t xml:space="preserve">0 Tx on carrier 1 and 2 Tx on carrier 2 </w:t>
                  </w:r>
                </w:p>
              </w:tc>
            </w:tr>
          </w:tbl>
          <w:p w14:paraId="6CE414E7" w14:textId="77777777" w:rsidR="00682F97" w:rsidRPr="00682F97" w:rsidRDefault="00682F97" w:rsidP="00682F97">
            <w:pPr>
              <w:pStyle w:val="ListParagraph"/>
              <w:overflowPunct w:val="0"/>
              <w:ind w:firstLineChars="0" w:firstLine="0"/>
              <w:rPr>
                <w:rFonts w:ascii="Times New Roman" w:hAnsi="Times New Roman" w:cs="Times New Roman"/>
                <w:sz w:val="20"/>
                <w:szCs w:val="20"/>
              </w:rPr>
            </w:pPr>
          </w:p>
          <w:p w14:paraId="0502C487" w14:textId="77777777" w:rsidR="00682F97" w:rsidRPr="00682F97" w:rsidRDefault="00682F97" w:rsidP="00682F97">
            <w:pPr>
              <w:pStyle w:val="ListParagraph"/>
              <w:numPr>
                <w:ilvl w:val="1"/>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UE RF requirements, e.g., time mask RF requirements and other necessary RF requirements if any</w:t>
            </w:r>
          </w:p>
          <w:p w14:paraId="563A2404"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The options agreed at RAN4 #92 in R4-1910531 can be considered as starting point</w:t>
            </w:r>
          </w:p>
          <w:p w14:paraId="0F849768" w14:textId="77777777" w:rsidR="00682F97" w:rsidRPr="00682F97" w:rsidRDefault="00682F97" w:rsidP="00682F97">
            <w:pPr>
              <w:pStyle w:val="ListParagraph"/>
              <w:numPr>
                <w:ilvl w:val="1"/>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Study if there are any impact to interruption and delay requirements, and specify the RRM requirements if needed</w:t>
            </w:r>
          </w:p>
          <w:p w14:paraId="6CB11E1C" w14:textId="77777777" w:rsidR="00682F97" w:rsidRPr="00682F97" w:rsidRDefault="00682F97" w:rsidP="00682F97">
            <w:pPr>
              <w:pStyle w:val="ListParagraph"/>
              <w:numPr>
                <w:ilvl w:val="1"/>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RAN1 will further study by Dec 2019 if there are any RAN1 potential impacts based on RAN4 LS if any</w:t>
            </w:r>
          </w:p>
          <w:p w14:paraId="61DD1440"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 xml:space="preserve">No new TDM pattern will be defined, i.e. scheduling-based switching is assumed. </w:t>
            </w:r>
          </w:p>
          <w:p w14:paraId="795ED3A8"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 xml:space="preserve">Finalization of RAN4 requirements and approval of RAN4 CRs shall be based on RAN1 LS  </w:t>
            </w:r>
          </w:p>
          <w:p w14:paraId="45EAD043"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 xml:space="preserve">Strive to minimize RAN1 impact. </w:t>
            </w:r>
          </w:p>
          <w:p w14:paraId="5C447A79"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 xml:space="preserve">Strive to achieve no impact to RAN1 E-UTRAN spec </w:t>
            </w:r>
          </w:p>
          <w:p w14:paraId="4A1B4F85" w14:textId="77777777" w:rsidR="00682F97" w:rsidRPr="00682F97" w:rsidRDefault="00682F97" w:rsidP="00682F97">
            <w:pPr>
              <w:pStyle w:val="ListParagraph"/>
              <w:numPr>
                <w:ilvl w:val="2"/>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 xml:space="preserve">Strive to avoid defining location of switching period impacting RAN1 spec </w:t>
            </w:r>
          </w:p>
          <w:p w14:paraId="14C679CF" w14:textId="77777777" w:rsidR="00682F97" w:rsidRPr="00682F97" w:rsidRDefault="00682F97" w:rsidP="00682F97">
            <w:pPr>
              <w:pStyle w:val="ListParagraph"/>
              <w:numPr>
                <w:ilvl w:val="1"/>
                <w:numId w:val="13"/>
              </w:numPr>
              <w:overflowPunct w:val="0"/>
              <w:ind w:firstLineChars="0"/>
              <w:rPr>
                <w:rFonts w:ascii="Times New Roman" w:hAnsi="Times New Roman" w:cs="Times New Roman"/>
                <w:sz w:val="20"/>
                <w:szCs w:val="20"/>
              </w:rPr>
            </w:pPr>
            <w:r w:rsidRPr="00682F97">
              <w:rPr>
                <w:rFonts w:ascii="Times New Roman" w:hAnsi="Times New Roman" w:cs="Times New Roman"/>
                <w:color w:val="000000"/>
                <w:kern w:val="24"/>
                <w:sz w:val="20"/>
                <w:szCs w:val="20"/>
              </w:rPr>
              <w:t>Define per band per band combination or per band combination UE capability signaling if needed</w:t>
            </w:r>
          </w:p>
          <w:p w14:paraId="1D3BC189" w14:textId="77777777" w:rsidR="00682F97" w:rsidRPr="00682F97" w:rsidRDefault="00682F97" w:rsidP="00682F97">
            <w:pPr>
              <w:pStyle w:val="NormalWeb"/>
              <w:overflowPunct w:val="0"/>
              <w:spacing w:before="58" w:beforeAutospacing="0" w:after="0" w:afterAutospacing="0"/>
              <w:ind w:leftChars="260" w:left="1070" w:hanging="446"/>
              <w:rPr>
                <w:sz w:val="20"/>
                <w:szCs w:val="20"/>
              </w:rPr>
            </w:pPr>
            <w:r w:rsidRPr="00682F97">
              <w:rPr>
                <w:color w:val="000000"/>
                <w:kern w:val="24"/>
                <w:sz w:val="20"/>
                <w:szCs w:val="20"/>
              </w:rPr>
              <w:t>Note 1: Only addressing the case of co-located and synchronized network deployment for the two UL carriers</w:t>
            </w:r>
          </w:p>
          <w:p w14:paraId="187C5540" w14:textId="77777777" w:rsidR="00682F97" w:rsidRPr="00682F97" w:rsidRDefault="00682F97" w:rsidP="00682F97">
            <w:pPr>
              <w:pStyle w:val="NormalWeb"/>
              <w:overflowPunct w:val="0"/>
              <w:spacing w:before="58" w:beforeAutospacing="0" w:after="0" w:afterAutospacing="0"/>
              <w:ind w:leftChars="260" w:left="1070" w:hanging="446"/>
              <w:rPr>
                <w:sz w:val="20"/>
                <w:szCs w:val="20"/>
              </w:rPr>
            </w:pPr>
            <w:r w:rsidRPr="00682F97">
              <w:rPr>
                <w:color w:val="000000"/>
                <w:kern w:val="24"/>
                <w:sz w:val="20"/>
                <w:szCs w:val="20"/>
              </w:rPr>
              <w:t>Note 2:  Only addressing the case of single TAG for the two UL carriers for SUL and for UL CA</w:t>
            </w:r>
          </w:p>
          <w:p w14:paraId="74DF3FBB" w14:textId="77777777" w:rsidR="00682F97" w:rsidRPr="00682F97" w:rsidRDefault="00682F97" w:rsidP="00682F97">
            <w:pPr>
              <w:pStyle w:val="NormalWeb"/>
              <w:overflowPunct w:val="0"/>
              <w:spacing w:before="58" w:beforeAutospacing="0" w:after="0" w:afterAutospacing="0"/>
              <w:ind w:leftChars="260" w:left="1070" w:hanging="446"/>
              <w:rPr>
                <w:sz w:val="20"/>
                <w:szCs w:val="20"/>
              </w:rPr>
            </w:pPr>
            <w:r w:rsidRPr="00682F97">
              <w:rPr>
                <w:color w:val="000000"/>
                <w:kern w:val="24"/>
                <w:sz w:val="20"/>
                <w:szCs w:val="20"/>
              </w:rPr>
              <w:t>Note 3:  The above objectives will not relax the existing requirements specified in Rel-15 38.101-3 for band combinations allowing single uplink transmission</w:t>
            </w:r>
          </w:p>
          <w:p w14:paraId="6789AC6D" w14:textId="2B9AEC3E" w:rsidR="00682F97" w:rsidRPr="00682F97" w:rsidRDefault="00682F97" w:rsidP="00682F97">
            <w:pPr>
              <w:pStyle w:val="NormalWeb"/>
              <w:overflowPunct w:val="0"/>
              <w:spacing w:before="58" w:beforeAutospacing="0" w:after="0" w:afterAutospacing="0"/>
              <w:ind w:leftChars="260" w:left="1070" w:hanging="446"/>
              <w:rPr>
                <w:color w:val="000000"/>
                <w:kern w:val="24"/>
                <w:sz w:val="20"/>
                <w:szCs w:val="20"/>
              </w:rPr>
            </w:pPr>
            <w:r w:rsidRPr="00682F97">
              <w:rPr>
                <w:color w:val="000000"/>
                <w:kern w:val="24"/>
                <w:sz w:val="20"/>
                <w:szCs w:val="20"/>
              </w:rPr>
              <w:t>Note 4: The UE is configured with two different uplink carrier frequencies.</w:t>
            </w:r>
          </w:p>
        </w:tc>
      </w:tr>
    </w:tbl>
    <w:p w14:paraId="11ECBAD6" w14:textId="41C8533F" w:rsidR="00682F97" w:rsidRDefault="00682F97" w:rsidP="00244940">
      <w:pPr>
        <w:rPr>
          <w:lang w:val="en-GB"/>
        </w:rPr>
      </w:pPr>
    </w:p>
    <w:p w14:paraId="413EC318" w14:textId="77777777" w:rsidR="00752026" w:rsidRDefault="00752026">
      <w:pPr>
        <w:rPr>
          <w:lang w:val="en-GB"/>
        </w:rPr>
      </w:pPr>
      <w:r>
        <w:rPr>
          <w:lang w:val="en-GB"/>
        </w:rPr>
        <w:br w:type="page"/>
      </w:r>
    </w:p>
    <w:p w14:paraId="3D2E77DF" w14:textId="6B00F9DC" w:rsidR="00682F97" w:rsidRDefault="00B14070" w:rsidP="00244940">
      <w:pPr>
        <w:rPr>
          <w:lang w:val="en-GB"/>
        </w:rPr>
      </w:pPr>
      <w:r>
        <w:rPr>
          <w:lang w:val="en-GB"/>
        </w:rPr>
        <w:lastRenderedPageBreak/>
        <w:t xml:space="preserve">Specifically in relation to the UE’s power class capabilities, </w:t>
      </w:r>
      <w:r w:rsidR="00682F97">
        <w:rPr>
          <w:lang w:val="en-GB"/>
        </w:rPr>
        <w:t>RAN4</w:t>
      </w:r>
      <w:r>
        <w:rPr>
          <w:lang w:val="en-GB"/>
        </w:rPr>
        <w:t xml:space="preserve"> made the following agreements during the RAN4</w:t>
      </w:r>
      <w:r w:rsidR="00682F97">
        <w:rPr>
          <w:lang w:val="en-GB"/>
        </w:rPr>
        <w:t xml:space="preserve"> #94e meeting</w:t>
      </w:r>
      <w:r>
        <w:rPr>
          <w:lang w:val="en-GB"/>
        </w:rPr>
        <w:t xml:space="preserve"> </w:t>
      </w:r>
      <w:r>
        <w:rPr>
          <w:lang w:val="en-GB"/>
        </w:rPr>
        <w:fldChar w:fldCharType="begin"/>
      </w:r>
      <w:r>
        <w:rPr>
          <w:lang w:val="en-GB"/>
        </w:rPr>
        <w:instrText xml:space="preserve"> REF _Ref40440487 \r \h </w:instrText>
      </w:r>
      <w:r>
        <w:rPr>
          <w:lang w:val="en-GB"/>
        </w:rPr>
      </w:r>
      <w:r>
        <w:rPr>
          <w:lang w:val="en-GB"/>
        </w:rPr>
        <w:fldChar w:fldCharType="separate"/>
      </w:r>
      <w:r w:rsidR="00F57695">
        <w:rPr>
          <w:lang w:val="en-GB"/>
        </w:rPr>
        <w:t>[2]</w:t>
      </w:r>
      <w:r>
        <w:rPr>
          <w:lang w:val="en-GB"/>
        </w:rPr>
        <w:fldChar w:fldCharType="end"/>
      </w:r>
      <w:r w:rsidR="00682F97">
        <w:rPr>
          <w:lang w:val="en-GB"/>
        </w:rPr>
        <w:t>:</w:t>
      </w:r>
    </w:p>
    <w:p w14:paraId="3B0008C5" w14:textId="77777777" w:rsidR="00682F97" w:rsidRDefault="00682F97" w:rsidP="00244940">
      <w:pPr>
        <w:rPr>
          <w:lang w:val="en-GB"/>
        </w:rPr>
      </w:pPr>
    </w:p>
    <w:tbl>
      <w:tblPr>
        <w:tblStyle w:val="TableGrid"/>
        <w:tblW w:w="0" w:type="auto"/>
        <w:tblLook w:val="04A0" w:firstRow="1" w:lastRow="0" w:firstColumn="1" w:lastColumn="0" w:noHBand="0" w:noVBand="1"/>
      </w:tblPr>
      <w:tblGrid>
        <w:gridCol w:w="9631"/>
      </w:tblGrid>
      <w:tr w:rsidR="006D601F" w14:paraId="7CADE1F4" w14:textId="77777777" w:rsidTr="006D601F">
        <w:tc>
          <w:tcPr>
            <w:tcW w:w="9631" w:type="dxa"/>
          </w:tcPr>
          <w:p w14:paraId="770C41C8" w14:textId="77777777" w:rsidR="00C87B78" w:rsidRPr="00B14070" w:rsidRDefault="00E64E5C" w:rsidP="00B14070">
            <w:pPr>
              <w:numPr>
                <w:ilvl w:val="0"/>
                <w:numId w:val="14"/>
              </w:numPr>
              <w:rPr>
                <w:noProof/>
                <w:sz w:val="20"/>
                <w:szCs w:val="20"/>
                <w:lang w:eastAsia="ja-JP"/>
              </w:rPr>
            </w:pPr>
            <w:r w:rsidRPr="00B14070">
              <w:rPr>
                <w:noProof/>
                <w:sz w:val="20"/>
                <w:szCs w:val="20"/>
                <w:lang w:eastAsia="ja-JP"/>
              </w:rPr>
              <w:t>CR structure</w:t>
            </w:r>
          </w:p>
          <w:p w14:paraId="2C4489CC" w14:textId="77777777" w:rsidR="00C87B78" w:rsidRPr="00B14070" w:rsidRDefault="00E64E5C" w:rsidP="00B14070">
            <w:pPr>
              <w:numPr>
                <w:ilvl w:val="1"/>
                <w:numId w:val="14"/>
              </w:numPr>
              <w:rPr>
                <w:noProof/>
                <w:sz w:val="20"/>
                <w:szCs w:val="20"/>
                <w:lang w:eastAsia="ja-JP"/>
              </w:rPr>
            </w:pPr>
            <w:r w:rsidRPr="00B14070">
              <w:rPr>
                <w:noProof/>
                <w:sz w:val="20"/>
                <w:szCs w:val="20"/>
                <w:lang w:eastAsia="ja-JP"/>
              </w:rPr>
              <w:t xml:space="preserve">One single CR for 38.101-1: </w:t>
            </w:r>
            <w:r w:rsidRPr="00B14070">
              <w:rPr>
                <w:noProof/>
                <w:sz w:val="20"/>
                <w:szCs w:val="20"/>
                <w:lang w:val="en-GB" w:eastAsia="ja-JP"/>
              </w:rPr>
              <w:t>Add the time mask requirements for UL CA in sub-clause 6.3A.3, and add the time mask requirements for SUL in sub-clause 6.3C.3.</w:t>
            </w:r>
          </w:p>
          <w:p w14:paraId="5C671F90" w14:textId="77777777" w:rsidR="00C87B78" w:rsidRPr="00B14070" w:rsidRDefault="00E64E5C" w:rsidP="00B14070">
            <w:pPr>
              <w:numPr>
                <w:ilvl w:val="1"/>
                <w:numId w:val="14"/>
              </w:numPr>
              <w:rPr>
                <w:noProof/>
                <w:sz w:val="20"/>
                <w:szCs w:val="20"/>
                <w:lang w:eastAsia="ja-JP"/>
              </w:rPr>
            </w:pPr>
            <w:r w:rsidRPr="00B14070">
              <w:rPr>
                <w:noProof/>
                <w:sz w:val="20"/>
                <w:szCs w:val="20"/>
                <w:lang w:eastAsia="ja-JP"/>
              </w:rPr>
              <w:t xml:space="preserve">One single CR for 38.101-3: </w:t>
            </w:r>
            <w:r w:rsidRPr="00B14070">
              <w:rPr>
                <w:noProof/>
                <w:sz w:val="20"/>
                <w:szCs w:val="20"/>
                <w:lang w:val="en-GB" w:eastAsia="ja-JP"/>
              </w:rPr>
              <w:t>Add the time mask requirements for EN-DC in sub-clause 6.3B.4.</w:t>
            </w:r>
          </w:p>
          <w:p w14:paraId="7B32C9F3" w14:textId="77777777" w:rsidR="00C87B78" w:rsidRPr="00B14070" w:rsidRDefault="00E64E5C" w:rsidP="00B14070">
            <w:pPr>
              <w:numPr>
                <w:ilvl w:val="0"/>
                <w:numId w:val="14"/>
              </w:numPr>
              <w:rPr>
                <w:noProof/>
                <w:sz w:val="20"/>
                <w:szCs w:val="20"/>
                <w:lang w:eastAsia="ja-JP"/>
              </w:rPr>
            </w:pPr>
            <w:r w:rsidRPr="00B14070">
              <w:rPr>
                <w:noProof/>
                <w:sz w:val="20"/>
                <w:szCs w:val="20"/>
                <w:lang w:eastAsia="ja-JP"/>
              </w:rPr>
              <w:t>Rank adaptation</w:t>
            </w:r>
          </w:p>
          <w:p w14:paraId="667A6C08" w14:textId="77777777" w:rsidR="00C87B78" w:rsidRPr="00B14070" w:rsidRDefault="00E64E5C" w:rsidP="00B14070">
            <w:pPr>
              <w:numPr>
                <w:ilvl w:val="1"/>
                <w:numId w:val="14"/>
              </w:numPr>
              <w:rPr>
                <w:noProof/>
                <w:sz w:val="20"/>
                <w:szCs w:val="20"/>
                <w:lang w:eastAsia="ja-JP"/>
              </w:rPr>
            </w:pPr>
            <w:r w:rsidRPr="00B14070">
              <w:rPr>
                <w:noProof/>
                <w:sz w:val="20"/>
                <w:szCs w:val="20"/>
                <w:lang w:val="en-GB" w:eastAsia="ja-JP"/>
              </w:rPr>
              <w:t>Capture the following RAN4 #93 agreement as normative text in 38.101-1 and 38.101-3</w:t>
            </w:r>
          </w:p>
          <w:p w14:paraId="72626642" w14:textId="77777777" w:rsidR="00B14070" w:rsidRPr="00B14070" w:rsidRDefault="00B14070" w:rsidP="00B14070">
            <w:pPr>
              <w:numPr>
                <w:ilvl w:val="2"/>
                <w:numId w:val="14"/>
              </w:numPr>
              <w:rPr>
                <w:noProof/>
                <w:sz w:val="20"/>
                <w:szCs w:val="20"/>
                <w:lang w:eastAsia="ja-JP"/>
              </w:rPr>
            </w:pPr>
            <w:r w:rsidRPr="00B14070">
              <w:rPr>
                <w:noProof/>
                <w:sz w:val="20"/>
                <w:szCs w:val="20"/>
                <w:lang w:val="en-GB" w:eastAsia="ja-JP"/>
              </w:rPr>
              <w:t>For UE supporting UL Tx switching, it is mandated to support 2-layer UL-MIMO transmission and single-layer transmission on carrier 2 following the BS scheduling and rank adaptation (if rank adaptation is applicable).</w:t>
            </w:r>
          </w:p>
          <w:p w14:paraId="6D99B033" w14:textId="77777777" w:rsidR="00B14070" w:rsidRPr="00B14070" w:rsidRDefault="00B14070" w:rsidP="00B14070">
            <w:pPr>
              <w:numPr>
                <w:ilvl w:val="0"/>
                <w:numId w:val="14"/>
              </w:numPr>
              <w:rPr>
                <w:noProof/>
                <w:sz w:val="20"/>
                <w:szCs w:val="20"/>
                <w:lang w:eastAsia="ja-JP"/>
              </w:rPr>
            </w:pPr>
            <w:r w:rsidRPr="00B14070">
              <w:rPr>
                <w:noProof/>
                <w:sz w:val="20"/>
                <w:szCs w:val="20"/>
                <w:lang w:eastAsia="ja-JP"/>
              </w:rPr>
              <w:t>Power class</w:t>
            </w:r>
          </w:p>
          <w:p w14:paraId="3C0995EE" w14:textId="77777777" w:rsidR="00B14070" w:rsidRPr="00B14070" w:rsidRDefault="00B14070" w:rsidP="00B14070">
            <w:pPr>
              <w:numPr>
                <w:ilvl w:val="1"/>
                <w:numId w:val="14"/>
              </w:numPr>
              <w:rPr>
                <w:noProof/>
                <w:sz w:val="20"/>
                <w:szCs w:val="20"/>
                <w:lang w:eastAsia="ja-JP"/>
              </w:rPr>
            </w:pPr>
            <w:r w:rsidRPr="00B14070">
              <w:rPr>
                <w:noProof/>
                <w:sz w:val="20"/>
                <w:szCs w:val="20"/>
                <w:lang w:eastAsia="ja-JP"/>
              </w:rPr>
              <w:t>Capture the following RAN4 #93 agreement on power class clarification in 38.101-1 and 38.101-3</w:t>
            </w:r>
          </w:p>
          <w:p w14:paraId="56C9999C" w14:textId="77777777" w:rsidR="00B14070" w:rsidRPr="00B14070" w:rsidRDefault="00B14070" w:rsidP="00B14070">
            <w:pPr>
              <w:numPr>
                <w:ilvl w:val="2"/>
                <w:numId w:val="14"/>
              </w:numPr>
              <w:rPr>
                <w:noProof/>
                <w:sz w:val="20"/>
                <w:szCs w:val="20"/>
                <w:lang w:eastAsia="ja-JP"/>
              </w:rPr>
            </w:pPr>
            <w:r w:rsidRPr="00B14070">
              <w:rPr>
                <w:noProof/>
                <w:sz w:val="20"/>
                <w:szCs w:val="20"/>
                <w:lang w:eastAsia="ja-JP"/>
              </w:rPr>
              <w:t xml:space="preserve">Power class declaration will NOT be changed between case 1 and case 2. </w:t>
            </w:r>
          </w:p>
          <w:p w14:paraId="0F16E0D3" w14:textId="77777777" w:rsidR="00B14070" w:rsidRPr="00B14070" w:rsidRDefault="00B14070" w:rsidP="00B14070">
            <w:pPr>
              <w:numPr>
                <w:ilvl w:val="2"/>
                <w:numId w:val="14"/>
              </w:numPr>
              <w:rPr>
                <w:noProof/>
                <w:sz w:val="20"/>
                <w:szCs w:val="20"/>
                <w:lang w:eastAsia="ja-JP"/>
              </w:rPr>
            </w:pPr>
            <w:r w:rsidRPr="00B14070">
              <w:rPr>
                <w:noProof/>
                <w:sz w:val="20"/>
                <w:szCs w:val="20"/>
                <w:lang w:eastAsia="ja-JP"/>
              </w:rPr>
              <w:t xml:space="preserve">Rel-16 power class singaling will be followed for Tx switching between case 1 and case 2. </w:t>
            </w:r>
          </w:p>
          <w:p w14:paraId="1D0C51E1" w14:textId="7BBBA862" w:rsidR="00B14070" w:rsidRPr="006D601F" w:rsidRDefault="00B14070" w:rsidP="00B14070">
            <w:pPr>
              <w:numPr>
                <w:ilvl w:val="1"/>
                <w:numId w:val="14"/>
              </w:numPr>
              <w:rPr>
                <w:noProof/>
                <w:lang w:eastAsia="ja-JP"/>
              </w:rPr>
            </w:pPr>
            <w:r w:rsidRPr="00B14070">
              <w:rPr>
                <w:noProof/>
                <w:sz w:val="20"/>
                <w:szCs w:val="20"/>
                <w:lang w:eastAsia="ja-JP"/>
              </w:rPr>
              <w:t>Further discuss how to capture the above clarification</w:t>
            </w:r>
          </w:p>
        </w:tc>
      </w:tr>
    </w:tbl>
    <w:p w14:paraId="3BCC99A1" w14:textId="331A4ACF" w:rsidR="006D601F" w:rsidRDefault="006D601F" w:rsidP="00244940">
      <w:pPr>
        <w:rPr>
          <w:lang w:val="en-GB"/>
        </w:rPr>
      </w:pPr>
    </w:p>
    <w:p w14:paraId="3520FBBA" w14:textId="4B731848" w:rsidR="00752026" w:rsidRDefault="00752026" w:rsidP="00244940">
      <w:pPr>
        <w:rPr>
          <w:lang w:val="en-GB"/>
        </w:rPr>
      </w:pPr>
      <w:r>
        <w:rPr>
          <w:lang w:val="en-GB"/>
        </w:rPr>
        <w:t>During the RAN4 #94e-bis meeting a number of companies expressed views on aspects related to the UE’s power class capabilities, but no further agreements were reached</w:t>
      </w:r>
      <w:r w:rsidR="00B91E0A">
        <w:rPr>
          <w:lang w:val="en-GB"/>
        </w:rPr>
        <w:t xml:space="preserve"> on this topic </w:t>
      </w:r>
      <w:r w:rsidR="00B91E0A">
        <w:rPr>
          <w:lang w:val="en-GB"/>
        </w:rPr>
        <w:fldChar w:fldCharType="begin"/>
      </w:r>
      <w:r w:rsidR="00B91E0A">
        <w:rPr>
          <w:lang w:val="en-GB"/>
        </w:rPr>
        <w:instrText xml:space="preserve"> REF _Ref40441352 \r \h </w:instrText>
      </w:r>
      <w:r w:rsidR="00B91E0A">
        <w:rPr>
          <w:lang w:val="en-GB"/>
        </w:rPr>
      </w:r>
      <w:r w:rsidR="00B91E0A">
        <w:rPr>
          <w:lang w:val="en-GB"/>
        </w:rPr>
        <w:fldChar w:fldCharType="separate"/>
      </w:r>
      <w:r w:rsidR="00F57695">
        <w:rPr>
          <w:lang w:val="en-GB"/>
        </w:rPr>
        <w:t>[3]</w:t>
      </w:r>
      <w:r w:rsidR="00B91E0A">
        <w:rPr>
          <w:lang w:val="en-GB"/>
        </w:rPr>
        <w:fldChar w:fldCharType="end"/>
      </w:r>
      <w:r>
        <w:rPr>
          <w:lang w:val="en-GB"/>
        </w:rPr>
        <w:t>.</w:t>
      </w:r>
    </w:p>
    <w:p w14:paraId="6CFF5CC9" w14:textId="6E75D7D7" w:rsidR="00244940" w:rsidRPr="00244940" w:rsidRDefault="00244940" w:rsidP="00244940">
      <w:pPr>
        <w:pStyle w:val="Heading1"/>
      </w:pPr>
      <w:r>
        <w:t>2</w:t>
      </w:r>
      <w:r>
        <w:tab/>
        <w:t xml:space="preserve">Discussion </w:t>
      </w:r>
    </w:p>
    <w:p w14:paraId="72D87DFE" w14:textId="7630AB16" w:rsidR="008F7E68" w:rsidRDefault="008F7E68" w:rsidP="00D27EF9">
      <w:r>
        <w:t>Figure 1 below illustrates a high-level view of the potential UE RF architecture which supports the Case 1 / Case 2 switching operation, as defined in the WID objective.</w:t>
      </w:r>
    </w:p>
    <w:p w14:paraId="4420582A" w14:textId="27E30FC3" w:rsidR="008F7E68" w:rsidRDefault="008F7E68" w:rsidP="00D27EF9"/>
    <w:p w14:paraId="48791B34" w14:textId="77777777" w:rsidR="0077117A" w:rsidRDefault="0077117A" w:rsidP="0077117A">
      <w:pPr>
        <w:keepNext/>
        <w:jc w:val="center"/>
      </w:pPr>
      <w:r w:rsidRPr="0077117A">
        <w:rPr>
          <w:noProof/>
        </w:rPr>
        <w:drawing>
          <wp:inline distT="0" distB="0" distL="0" distR="0" wp14:anchorId="440184C6" wp14:editId="6BB7A18C">
            <wp:extent cx="3657600" cy="281353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7600" cy="2813538"/>
                    </a:xfrm>
                    <a:prstGeom prst="rect">
                      <a:avLst/>
                    </a:prstGeom>
                  </pic:spPr>
                </pic:pic>
              </a:graphicData>
            </a:graphic>
          </wp:inline>
        </w:drawing>
      </w:r>
    </w:p>
    <w:p w14:paraId="4CE070C6" w14:textId="15E002D9" w:rsidR="008F7E68" w:rsidRDefault="0077117A" w:rsidP="0077117A">
      <w:pPr>
        <w:pStyle w:val="Caption"/>
        <w:jc w:val="center"/>
      </w:pPr>
      <w:r>
        <w:t xml:space="preserve">Figure </w:t>
      </w:r>
      <w:fldSimple w:instr=" SEQ Figure \* ARABIC ">
        <w:r w:rsidR="00F57695">
          <w:rPr>
            <w:noProof/>
          </w:rPr>
          <w:t>1</w:t>
        </w:r>
      </w:fldSimple>
      <w:r>
        <w:t>: Potential UE RF architecture for Case 1 / Case 2 switching</w:t>
      </w:r>
    </w:p>
    <w:p w14:paraId="52B9C160" w14:textId="77777777" w:rsidR="008F7E68" w:rsidRDefault="008F7E68" w:rsidP="00D27EF9"/>
    <w:p w14:paraId="1F100584" w14:textId="09F21E4C" w:rsidR="00F43FA5" w:rsidRDefault="00F43FA5" w:rsidP="00D27EF9">
      <w:r>
        <w:t xml:space="preserve">Because the </w:t>
      </w:r>
      <w:r w:rsidR="003F77AB">
        <w:t xml:space="preserve">3GPP specification abstracts transmission ports from the underlying transmitter architecture, there exists design flexibility for the UE to support requirements associated with a particular power class.  However, there is a discussion in the Rel-16 NR MIMO enhancements work item on the topic of transparent transmit diversity and UL MIMO with the potential to define a different set of UE requirements (e.g. MPR) based on different PA architectures which realize a particular power class.  Thus, there are two decision points which can have an impact on the Case 1 / Case 2 switching feature in the cotext of power class capability.  The first decision point is whether RAN4 agrees to introduce the relaxed MPR requirements for transparent Tx diversity and </w:t>
      </w:r>
      <w:r w:rsidR="003F77AB">
        <w:lastRenderedPageBreak/>
        <w:t>UL MIMO.  The second decision point is whether RAN4 agrees to introduce signaling which enables the UE to inform the network which set of requirements are applicable.</w:t>
      </w:r>
    </w:p>
    <w:p w14:paraId="28810182" w14:textId="77777777" w:rsidR="003F77AB" w:rsidRDefault="003F77AB" w:rsidP="00D27EF9"/>
    <w:p w14:paraId="05472C45" w14:textId="3DD41ADC" w:rsidR="003F77AB" w:rsidRDefault="003F77AB" w:rsidP="003F77AB">
      <w:pPr>
        <w:pStyle w:val="Proposal"/>
      </w:pPr>
      <w:bookmarkStart w:id="1" w:name="_Toc40441337"/>
      <w:bookmarkStart w:id="2" w:name="_Toc40442661"/>
      <w:r>
        <w:t>Proposal 1:</w:t>
      </w:r>
      <w:r>
        <w:tab/>
        <w:t>IF RAN4 does not agree to introduce relaxed MPR requirements for transparent tx diversity and UL MIMO, then there is no ambiguity about the UE’s power class capabilities in the context of the Case 1 / Case 2 switching.</w:t>
      </w:r>
      <w:bookmarkEnd w:id="1"/>
      <w:bookmarkEnd w:id="2"/>
    </w:p>
    <w:p w14:paraId="7F13B760" w14:textId="386C3155" w:rsidR="003F77AB" w:rsidRDefault="003F77AB" w:rsidP="003F77AB">
      <w:pPr>
        <w:pStyle w:val="Proposal"/>
      </w:pPr>
      <w:bookmarkStart w:id="3" w:name="_Toc40441338"/>
      <w:bookmarkStart w:id="4" w:name="_Toc40442662"/>
      <w:r>
        <w:t>Proposal 2:</w:t>
      </w:r>
      <w:r>
        <w:tab/>
        <w:t>IF RAN4 does agree to introduce relaxed MPR requirements for transparent tx diversity and/or UL MIMO, but does not agree to introduce any related signaling which the UE can use to inform the network which requirement is applicable, then there can be ambiguity about the UE’s power class capabilities in the context of the Case 1 / Case 2 switching.</w:t>
      </w:r>
      <w:bookmarkEnd w:id="3"/>
      <w:bookmarkEnd w:id="4"/>
    </w:p>
    <w:p w14:paraId="0E5C5FE4" w14:textId="687328C9" w:rsidR="0074171A" w:rsidRDefault="003F77AB" w:rsidP="003F77AB">
      <w:pPr>
        <w:pStyle w:val="Proposal"/>
      </w:pPr>
      <w:bookmarkStart w:id="5" w:name="_Toc40441339"/>
      <w:bookmarkStart w:id="6" w:name="_Toc40442663"/>
      <w:r>
        <w:t>Proposal 3:</w:t>
      </w:r>
      <w:r>
        <w:tab/>
        <w:t>IF RAN4 does agree to introduce relaxed MPR requirements for transparent tx diversity and/or UL MIMO, and also the related signaling, then there is no ambiguity about the UE’s power class capabilities in the context of the Case 1 / Case 2 switching.</w:t>
      </w:r>
      <w:bookmarkEnd w:id="5"/>
      <w:bookmarkEnd w:id="6"/>
    </w:p>
    <w:p w14:paraId="4B368E38" w14:textId="4B7A9DDC" w:rsidR="00F57695" w:rsidRDefault="00F57695" w:rsidP="00F57695">
      <w:r>
        <w:t>T</w:t>
      </w:r>
      <w:bookmarkStart w:id="7" w:name="_GoBack"/>
      <w:bookmarkEnd w:id="7"/>
      <w:r>
        <w:t>o avoid further ambiguity, and recognizing the core motivation behind the Case 1 / Case 2 switching feature, it is observed that a UE architecture which supports transparent tx diversity is not beneficial for Case 1.</w:t>
      </w:r>
    </w:p>
    <w:p w14:paraId="3A06EB3F" w14:textId="77777777" w:rsidR="00F57695" w:rsidRDefault="00F57695" w:rsidP="00F57695"/>
    <w:p w14:paraId="1110A21F" w14:textId="123B859E" w:rsidR="00F57695" w:rsidRDefault="00F57695" w:rsidP="00F57695">
      <w:pPr>
        <w:pStyle w:val="Proposal"/>
      </w:pPr>
      <w:bookmarkStart w:id="8" w:name="_Toc40442664"/>
      <w:r>
        <w:t xml:space="preserve">Proposal </w:t>
      </w:r>
      <w:r>
        <w:t>4</w:t>
      </w:r>
      <w:r>
        <w:t>:</w:t>
      </w:r>
      <w:r>
        <w:tab/>
      </w:r>
      <w:r>
        <w:t>T</w:t>
      </w:r>
      <w:r w:rsidRPr="00F57695">
        <w:t>ransparent tx diversity is</w:t>
      </w:r>
      <w:r>
        <w:t xml:space="preserve"> not</w:t>
      </w:r>
      <w:r w:rsidRPr="00F57695">
        <w:t xml:space="preserve"> assumed in case 1 for UL tx switching.</w:t>
      </w:r>
      <w:bookmarkEnd w:id="8"/>
    </w:p>
    <w:p w14:paraId="34C99636" w14:textId="77777777" w:rsidR="008E7986" w:rsidRDefault="008E7986" w:rsidP="008E7986">
      <w:pPr>
        <w:pStyle w:val="Heading1"/>
      </w:pPr>
      <w:r>
        <w:t>3</w:t>
      </w:r>
      <w:r>
        <w:tab/>
        <w:t>Conclusions</w:t>
      </w:r>
    </w:p>
    <w:p w14:paraId="022AC6BB" w14:textId="67E166FF" w:rsidR="00CA76D3" w:rsidRDefault="0035296E" w:rsidP="00CA76D3">
      <w:r>
        <w:t xml:space="preserve">This contribution has </w:t>
      </w:r>
      <w:r w:rsidR="006C2531">
        <w:t xml:space="preserve">shared our views on the </w:t>
      </w:r>
      <w:r w:rsidR="003F77AB">
        <w:t xml:space="preserve">potential impact on power class by the Case 1 / Case 2 switching </w:t>
      </w:r>
      <w:r w:rsidR="006C2531">
        <w:t>and made the following proposal</w:t>
      </w:r>
      <w:r w:rsidR="003F77AB">
        <w:t>s</w:t>
      </w:r>
      <w:r w:rsidR="00A61086">
        <w:t>:</w:t>
      </w:r>
    </w:p>
    <w:p w14:paraId="128C9969" w14:textId="77777777" w:rsidR="00CA76D3" w:rsidRDefault="00CA76D3" w:rsidP="00CA76D3"/>
    <w:p w14:paraId="27EBCBEF" w14:textId="77777777" w:rsidR="00F57695" w:rsidRDefault="0035296E">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F57695">
        <w:rPr>
          <w:noProof/>
        </w:rPr>
        <w:t>Proposal 1:</w:t>
      </w:r>
      <w:r w:rsidR="00F57695">
        <w:rPr>
          <w:rFonts w:asciiTheme="minorHAnsi" w:eastAsiaTheme="minorEastAsia" w:hAnsiTheme="minorHAnsi" w:cstheme="minorBidi"/>
          <w:b w:val="0"/>
          <w:bCs w:val="0"/>
          <w:noProof/>
          <w:sz w:val="24"/>
          <w:szCs w:val="24"/>
          <w:lang w:val="en-US"/>
        </w:rPr>
        <w:tab/>
      </w:r>
      <w:r w:rsidR="00F57695">
        <w:rPr>
          <w:noProof/>
        </w:rPr>
        <w:t>IF RAN4 does not agree to introduce relaxed MPR requirements for transparent tx diversity and UL MIMO, then there is no ambiguity about the UE’s power class capabilities in the context of the Case 1 / Case 2 switching.</w:t>
      </w:r>
    </w:p>
    <w:p w14:paraId="1BFB4C4B" w14:textId="77777777" w:rsidR="00F57695" w:rsidRDefault="00F57695">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IF RAN4 does agree to introduce relaxed MPR requirements for transparent tx diversity and/or UL MIMO, but does not agree to introduce any related signaling which the UE can use to inform the network which requirement is applicable, then there can be ambiguity about the UE’s power class capabilities in the context of the Case 1 / Case 2 switching.</w:t>
      </w:r>
    </w:p>
    <w:p w14:paraId="12AAA321" w14:textId="77777777" w:rsidR="00F57695" w:rsidRDefault="00F57695">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IF RAN4 does agree to introduce relaxed MPR requirements for transparent tx diversity and/or UL MIMO, and also the related signaling, then there is no ambiguity about the UE’s power class capabilities in the context of the Case 1 / Case 2 switching.</w:t>
      </w:r>
    </w:p>
    <w:p w14:paraId="3740E036" w14:textId="77777777" w:rsidR="00F57695" w:rsidRDefault="00F57695">
      <w:pPr>
        <w:pStyle w:val="TOC1"/>
        <w:rPr>
          <w:rFonts w:asciiTheme="minorHAnsi" w:eastAsiaTheme="minorEastAsia" w:hAnsiTheme="minorHAnsi" w:cstheme="minorBidi"/>
          <w:b w:val="0"/>
          <w:bCs w:val="0"/>
          <w:noProof/>
          <w:sz w:val="24"/>
          <w:szCs w:val="24"/>
          <w:lang w:val="en-US"/>
        </w:rPr>
      </w:pPr>
      <w:r>
        <w:rPr>
          <w:noProof/>
        </w:rPr>
        <w:t>Proposal 4:</w:t>
      </w:r>
      <w:r>
        <w:rPr>
          <w:rFonts w:asciiTheme="minorHAnsi" w:eastAsiaTheme="minorEastAsia" w:hAnsiTheme="minorHAnsi" w:cstheme="minorBidi"/>
          <w:b w:val="0"/>
          <w:bCs w:val="0"/>
          <w:noProof/>
          <w:sz w:val="24"/>
          <w:szCs w:val="24"/>
          <w:lang w:val="en-US"/>
        </w:rPr>
        <w:tab/>
      </w:r>
      <w:r>
        <w:rPr>
          <w:noProof/>
        </w:rPr>
        <w:t>Transparent tx diversity is not assumed in case 1 for UL tx switching.</w:t>
      </w:r>
    </w:p>
    <w:p w14:paraId="05CC6F0A" w14:textId="781710C8" w:rsidR="005E69AE" w:rsidRPr="0035296E" w:rsidRDefault="0035296E" w:rsidP="00714EA5">
      <w:pPr>
        <w:pStyle w:val="TOC1"/>
        <w:ind w:left="0" w:firstLine="0"/>
        <w:rPr>
          <w:rFonts w:asciiTheme="minorHAnsi" w:eastAsiaTheme="minorEastAsia" w:hAnsiTheme="minorHAnsi" w:cstheme="minorBidi"/>
          <w:b w:val="0"/>
          <w:bCs w:val="0"/>
          <w:noProof/>
          <w:sz w:val="24"/>
          <w:szCs w:val="24"/>
          <w:lang w:val="de-DE"/>
        </w:rPr>
      </w:pPr>
      <w:r>
        <w:rPr>
          <w:b w:val="0"/>
          <w:bCs w:val="0"/>
        </w:rPr>
        <w:fldChar w:fldCharType="end"/>
      </w:r>
    </w:p>
    <w:p w14:paraId="5D2DDC34" w14:textId="77777777" w:rsidR="005E69AE" w:rsidRDefault="005E69AE" w:rsidP="005E69AE">
      <w:pPr>
        <w:pStyle w:val="Heading1"/>
      </w:pPr>
      <w:r>
        <w:t>4</w:t>
      </w:r>
      <w:r>
        <w:tab/>
        <w:t>References</w:t>
      </w:r>
    </w:p>
    <w:p w14:paraId="21B98901" w14:textId="32CE5D4D" w:rsidR="009E56A5" w:rsidRDefault="00682F97" w:rsidP="00CD651B">
      <w:pPr>
        <w:pStyle w:val="EX"/>
        <w:numPr>
          <w:ilvl w:val="0"/>
          <w:numId w:val="5"/>
        </w:numPr>
      </w:pPr>
      <w:bookmarkStart w:id="9" w:name="_Ref32369735"/>
      <w:r w:rsidRPr="00682F97">
        <w:t>RP-193266</w:t>
      </w:r>
      <w:r w:rsidR="009E56A5">
        <w:t>, “</w:t>
      </w:r>
      <w:r w:rsidRPr="00682F97">
        <w:t>RF requirements for NR frequency range 1 (FR1)</w:t>
      </w:r>
      <w:r w:rsidR="009E56A5">
        <w:t xml:space="preserve">,” </w:t>
      </w:r>
      <w:r>
        <w:t>Huawei</w:t>
      </w:r>
      <w:r w:rsidR="009E56A5">
        <w:t>, 3GPP RAN #8</w:t>
      </w:r>
      <w:r>
        <w:t>5</w:t>
      </w:r>
      <w:r w:rsidR="009E56A5">
        <w:t>, December 2019</w:t>
      </w:r>
      <w:bookmarkEnd w:id="9"/>
    </w:p>
    <w:p w14:paraId="46593429" w14:textId="744DA141" w:rsidR="00867322" w:rsidRDefault="00867322" w:rsidP="00CD651B">
      <w:pPr>
        <w:pStyle w:val="EX"/>
        <w:numPr>
          <w:ilvl w:val="0"/>
          <w:numId w:val="5"/>
        </w:numPr>
      </w:pPr>
      <w:bookmarkStart w:id="10" w:name="_Ref40440487"/>
      <w:r w:rsidRPr="00867322">
        <w:t>R4-2002815</w:t>
      </w:r>
      <w:r>
        <w:t>, “</w:t>
      </w:r>
      <w:r w:rsidRPr="00867322">
        <w:t>WF on RF requirements for Tx switching between two uplink carriers</w:t>
      </w:r>
      <w:r>
        <w:t>,” 3GPP RAN4 #94e, February 2020</w:t>
      </w:r>
      <w:bookmarkEnd w:id="10"/>
    </w:p>
    <w:p w14:paraId="729AABF3" w14:textId="5771DDDC" w:rsidR="00F270AF" w:rsidRDefault="00867322" w:rsidP="00CD651B">
      <w:pPr>
        <w:pStyle w:val="EX"/>
        <w:numPr>
          <w:ilvl w:val="0"/>
          <w:numId w:val="5"/>
        </w:numPr>
      </w:pPr>
      <w:bookmarkStart w:id="11" w:name="_Ref40441352"/>
      <w:r w:rsidRPr="00867322">
        <w:t>R4-2005664</w:t>
      </w:r>
      <w:r>
        <w:t>, “</w:t>
      </w:r>
      <w:r w:rsidRPr="00867322">
        <w:t>WF on RF requirements for Tx switching between two uplink carriers</w:t>
      </w:r>
      <w:r>
        <w:t>,” China Telecom, 3GPP RAN4 #94e-bis, April 2020</w:t>
      </w:r>
      <w:bookmarkEnd w:id="11"/>
    </w:p>
    <w:bookmarkEnd w:id="0"/>
    <w:p w14:paraId="2DB4EFE6" w14:textId="54D381C9" w:rsidR="00E2539D" w:rsidRDefault="00E2539D"/>
    <w:sectPr w:rsidR="00E2539D"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3D143" w14:textId="77777777" w:rsidR="002F08B6" w:rsidRDefault="002F08B6">
      <w:r>
        <w:separator/>
      </w:r>
    </w:p>
  </w:endnote>
  <w:endnote w:type="continuationSeparator" w:id="0">
    <w:p w14:paraId="655CC8A0" w14:textId="77777777" w:rsidR="002F08B6" w:rsidRDefault="002F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362BA" w14:textId="77777777" w:rsidR="002F08B6" w:rsidRDefault="002F08B6">
      <w:r>
        <w:separator/>
      </w:r>
    </w:p>
  </w:footnote>
  <w:footnote w:type="continuationSeparator" w:id="0">
    <w:p w14:paraId="0EC8185E" w14:textId="77777777" w:rsidR="002F08B6" w:rsidRDefault="002F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5CF0"/>
    <w:multiLevelType w:val="hybridMultilevel"/>
    <w:tmpl w:val="3CFA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0544E98"/>
    <w:multiLevelType w:val="hybridMultilevel"/>
    <w:tmpl w:val="D13EADE0"/>
    <w:lvl w:ilvl="0" w:tplc="1730FAAE">
      <w:start w:val="1"/>
      <w:numFmt w:val="bullet"/>
      <w:lvlText w:val="•"/>
      <w:lvlJc w:val="left"/>
      <w:pPr>
        <w:tabs>
          <w:tab w:val="num" w:pos="720"/>
        </w:tabs>
        <w:ind w:left="720" w:hanging="360"/>
      </w:pPr>
      <w:rPr>
        <w:rFonts w:ascii="Arial" w:hAnsi="Arial" w:hint="default"/>
      </w:rPr>
    </w:lvl>
    <w:lvl w:ilvl="1" w:tplc="82F46C72">
      <w:start w:val="2550"/>
      <w:numFmt w:val="bullet"/>
      <w:lvlText w:val="–"/>
      <w:lvlJc w:val="left"/>
      <w:pPr>
        <w:tabs>
          <w:tab w:val="num" w:pos="1440"/>
        </w:tabs>
        <w:ind w:left="1440" w:hanging="360"/>
      </w:pPr>
      <w:rPr>
        <w:rFonts w:ascii="Arial" w:hAnsi="Arial" w:hint="default"/>
      </w:rPr>
    </w:lvl>
    <w:lvl w:ilvl="2" w:tplc="F1DE7312">
      <w:start w:val="1"/>
      <w:numFmt w:val="bullet"/>
      <w:lvlText w:val="•"/>
      <w:lvlJc w:val="left"/>
      <w:pPr>
        <w:tabs>
          <w:tab w:val="num" w:pos="2160"/>
        </w:tabs>
        <w:ind w:left="2160" w:hanging="360"/>
      </w:pPr>
      <w:rPr>
        <w:rFonts w:ascii="Arial" w:hAnsi="Arial" w:hint="default"/>
      </w:rPr>
    </w:lvl>
    <w:lvl w:ilvl="3" w:tplc="DD9E7F70" w:tentative="1">
      <w:start w:val="1"/>
      <w:numFmt w:val="bullet"/>
      <w:lvlText w:val="•"/>
      <w:lvlJc w:val="left"/>
      <w:pPr>
        <w:tabs>
          <w:tab w:val="num" w:pos="2880"/>
        </w:tabs>
        <w:ind w:left="2880" w:hanging="360"/>
      </w:pPr>
      <w:rPr>
        <w:rFonts w:ascii="Arial" w:hAnsi="Arial" w:hint="default"/>
      </w:rPr>
    </w:lvl>
    <w:lvl w:ilvl="4" w:tplc="82CE9330" w:tentative="1">
      <w:start w:val="1"/>
      <w:numFmt w:val="bullet"/>
      <w:lvlText w:val="•"/>
      <w:lvlJc w:val="left"/>
      <w:pPr>
        <w:tabs>
          <w:tab w:val="num" w:pos="3600"/>
        </w:tabs>
        <w:ind w:left="3600" w:hanging="360"/>
      </w:pPr>
      <w:rPr>
        <w:rFonts w:ascii="Arial" w:hAnsi="Arial" w:hint="default"/>
      </w:rPr>
    </w:lvl>
    <w:lvl w:ilvl="5" w:tplc="281E5DCE" w:tentative="1">
      <w:start w:val="1"/>
      <w:numFmt w:val="bullet"/>
      <w:lvlText w:val="•"/>
      <w:lvlJc w:val="left"/>
      <w:pPr>
        <w:tabs>
          <w:tab w:val="num" w:pos="4320"/>
        </w:tabs>
        <w:ind w:left="4320" w:hanging="360"/>
      </w:pPr>
      <w:rPr>
        <w:rFonts w:ascii="Arial" w:hAnsi="Arial" w:hint="default"/>
      </w:rPr>
    </w:lvl>
    <w:lvl w:ilvl="6" w:tplc="201C3214" w:tentative="1">
      <w:start w:val="1"/>
      <w:numFmt w:val="bullet"/>
      <w:lvlText w:val="•"/>
      <w:lvlJc w:val="left"/>
      <w:pPr>
        <w:tabs>
          <w:tab w:val="num" w:pos="5040"/>
        </w:tabs>
        <w:ind w:left="5040" w:hanging="360"/>
      </w:pPr>
      <w:rPr>
        <w:rFonts w:ascii="Arial" w:hAnsi="Arial" w:hint="default"/>
      </w:rPr>
    </w:lvl>
    <w:lvl w:ilvl="7" w:tplc="851E3316" w:tentative="1">
      <w:start w:val="1"/>
      <w:numFmt w:val="bullet"/>
      <w:lvlText w:val="•"/>
      <w:lvlJc w:val="left"/>
      <w:pPr>
        <w:tabs>
          <w:tab w:val="num" w:pos="5760"/>
        </w:tabs>
        <w:ind w:left="5760" w:hanging="360"/>
      </w:pPr>
      <w:rPr>
        <w:rFonts w:ascii="Arial" w:hAnsi="Arial" w:hint="default"/>
      </w:rPr>
    </w:lvl>
    <w:lvl w:ilvl="8" w:tplc="231EA0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CF3104"/>
    <w:multiLevelType w:val="hybridMultilevel"/>
    <w:tmpl w:val="279C16E2"/>
    <w:lvl w:ilvl="0" w:tplc="77940DEC">
      <w:start w:val="1"/>
      <w:numFmt w:val="decimal"/>
      <w:lvlText w:val="%1)"/>
      <w:lvlJc w:val="left"/>
      <w:pPr>
        <w:ind w:left="1932" w:hanging="1212"/>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716E5CC1"/>
    <w:multiLevelType w:val="hybridMultilevel"/>
    <w:tmpl w:val="B90EF3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3"/>
  </w:num>
  <w:num w:numId="7">
    <w:abstractNumId w:val="7"/>
  </w:num>
  <w:num w:numId="8">
    <w:abstractNumId w:val="4"/>
  </w:num>
  <w:num w:numId="9">
    <w:abstractNumId w:val="1"/>
  </w:num>
  <w:num w:numId="10">
    <w:abstractNumId w:val="10"/>
  </w:num>
  <w:num w:numId="11">
    <w:abstractNumId w:val="1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4C"/>
    <w:rsid w:val="0000441A"/>
    <w:rsid w:val="00033397"/>
    <w:rsid w:val="00040095"/>
    <w:rsid w:val="00042CE7"/>
    <w:rsid w:val="00044D7C"/>
    <w:rsid w:val="00045BD2"/>
    <w:rsid w:val="00051834"/>
    <w:rsid w:val="00054A22"/>
    <w:rsid w:val="00057920"/>
    <w:rsid w:val="00057B9D"/>
    <w:rsid w:val="00062023"/>
    <w:rsid w:val="000655A6"/>
    <w:rsid w:val="00080512"/>
    <w:rsid w:val="000A365D"/>
    <w:rsid w:val="000A68F3"/>
    <w:rsid w:val="000C47C3"/>
    <w:rsid w:val="000D3143"/>
    <w:rsid w:val="000D58AB"/>
    <w:rsid w:val="000F3730"/>
    <w:rsid w:val="00104BC6"/>
    <w:rsid w:val="001133A5"/>
    <w:rsid w:val="00114E2C"/>
    <w:rsid w:val="0011763D"/>
    <w:rsid w:val="00125A30"/>
    <w:rsid w:val="00133525"/>
    <w:rsid w:val="00150B37"/>
    <w:rsid w:val="00184673"/>
    <w:rsid w:val="0019395F"/>
    <w:rsid w:val="001952DB"/>
    <w:rsid w:val="001A4C42"/>
    <w:rsid w:val="001B1D9C"/>
    <w:rsid w:val="001B1F24"/>
    <w:rsid w:val="001C21C3"/>
    <w:rsid w:val="001C56EA"/>
    <w:rsid w:val="001D02C2"/>
    <w:rsid w:val="001D27FD"/>
    <w:rsid w:val="001E0A52"/>
    <w:rsid w:val="001F0C1D"/>
    <w:rsid w:val="001F1132"/>
    <w:rsid w:val="001F168B"/>
    <w:rsid w:val="001F7234"/>
    <w:rsid w:val="00200662"/>
    <w:rsid w:val="00202FAE"/>
    <w:rsid w:val="002202CE"/>
    <w:rsid w:val="00230FB1"/>
    <w:rsid w:val="002347A2"/>
    <w:rsid w:val="00244940"/>
    <w:rsid w:val="00247926"/>
    <w:rsid w:val="00261491"/>
    <w:rsid w:val="002675F0"/>
    <w:rsid w:val="0027462C"/>
    <w:rsid w:val="00276EE4"/>
    <w:rsid w:val="0028110F"/>
    <w:rsid w:val="00290BFF"/>
    <w:rsid w:val="002B6339"/>
    <w:rsid w:val="002D525C"/>
    <w:rsid w:val="002E00EE"/>
    <w:rsid w:val="002E1608"/>
    <w:rsid w:val="002F08B6"/>
    <w:rsid w:val="003172DC"/>
    <w:rsid w:val="00337522"/>
    <w:rsid w:val="0034052F"/>
    <w:rsid w:val="0035296E"/>
    <w:rsid w:val="0035462D"/>
    <w:rsid w:val="00363EC4"/>
    <w:rsid w:val="00364F2F"/>
    <w:rsid w:val="003765B8"/>
    <w:rsid w:val="003A0483"/>
    <w:rsid w:val="003A542A"/>
    <w:rsid w:val="003C3971"/>
    <w:rsid w:val="003D2481"/>
    <w:rsid w:val="003E62EA"/>
    <w:rsid w:val="003E7753"/>
    <w:rsid w:val="003F77AB"/>
    <w:rsid w:val="00413E64"/>
    <w:rsid w:val="00423334"/>
    <w:rsid w:val="004345EC"/>
    <w:rsid w:val="00453F3C"/>
    <w:rsid w:val="00462B29"/>
    <w:rsid w:val="004826A9"/>
    <w:rsid w:val="004837EB"/>
    <w:rsid w:val="004C1601"/>
    <w:rsid w:val="004D3578"/>
    <w:rsid w:val="004E213A"/>
    <w:rsid w:val="004E4AA4"/>
    <w:rsid w:val="004F0988"/>
    <w:rsid w:val="004F3340"/>
    <w:rsid w:val="004F3E3D"/>
    <w:rsid w:val="004F65EC"/>
    <w:rsid w:val="00515EDE"/>
    <w:rsid w:val="00532179"/>
    <w:rsid w:val="0053388B"/>
    <w:rsid w:val="00535773"/>
    <w:rsid w:val="00543E6C"/>
    <w:rsid w:val="00564A7A"/>
    <w:rsid w:val="00565087"/>
    <w:rsid w:val="00572E14"/>
    <w:rsid w:val="005973BE"/>
    <w:rsid w:val="005A5986"/>
    <w:rsid w:val="005B0263"/>
    <w:rsid w:val="005D078E"/>
    <w:rsid w:val="005D113A"/>
    <w:rsid w:val="005D2E01"/>
    <w:rsid w:val="005D7526"/>
    <w:rsid w:val="005E69AE"/>
    <w:rsid w:val="00602AEA"/>
    <w:rsid w:val="006047CB"/>
    <w:rsid w:val="00607E3C"/>
    <w:rsid w:val="00614FDF"/>
    <w:rsid w:val="006246A7"/>
    <w:rsid w:val="00624D84"/>
    <w:rsid w:val="0062595A"/>
    <w:rsid w:val="0063543D"/>
    <w:rsid w:val="00647114"/>
    <w:rsid w:val="0065154B"/>
    <w:rsid w:val="00667B04"/>
    <w:rsid w:val="00682F97"/>
    <w:rsid w:val="006973C9"/>
    <w:rsid w:val="006A323F"/>
    <w:rsid w:val="006B30D0"/>
    <w:rsid w:val="006C2531"/>
    <w:rsid w:val="006C3D95"/>
    <w:rsid w:val="006C6CEF"/>
    <w:rsid w:val="006D601F"/>
    <w:rsid w:val="006E5C86"/>
    <w:rsid w:val="00713C44"/>
    <w:rsid w:val="00714EA5"/>
    <w:rsid w:val="00734A5B"/>
    <w:rsid w:val="0074026F"/>
    <w:rsid w:val="0074171A"/>
    <w:rsid w:val="007429F6"/>
    <w:rsid w:val="00744E76"/>
    <w:rsid w:val="007504E2"/>
    <w:rsid w:val="00752026"/>
    <w:rsid w:val="00752198"/>
    <w:rsid w:val="00753881"/>
    <w:rsid w:val="007600EF"/>
    <w:rsid w:val="00762811"/>
    <w:rsid w:val="0077117A"/>
    <w:rsid w:val="00774DA4"/>
    <w:rsid w:val="00781F0F"/>
    <w:rsid w:val="0079483B"/>
    <w:rsid w:val="007A2935"/>
    <w:rsid w:val="007A49DC"/>
    <w:rsid w:val="007B1606"/>
    <w:rsid w:val="007B247B"/>
    <w:rsid w:val="007B600E"/>
    <w:rsid w:val="007B670C"/>
    <w:rsid w:val="007D7531"/>
    <w:rsid w:val="007E1636"/>
    <w:rsid w:val="007E358E"/>
    <w:rsid w:val="007F0F4A"/>
    <w:rsid w:val="008028A4"/>
    <w:rsid w:val="00816517"/>
    <w:rsid w:val="00820B25"/>
    <w:rsid w:val="00830747"/>
    <w:rsid w:val="00837832"/>
    <w:rsid w:val="00857D3F"/>
    <w:rsid w:val="00867322"/>
    <w:rsid w:val="008768CA"/>
    <w:rsid w:val="00892A97"/>
    <w:rsid w:val="008B3566"/>
    <w:rsid w:val="008C384C"/>
    <w:rsid w:val="008E7986"/>
    <w:rsid w:val="008F5D65"/>
    <w:rsid w:val="008F7E68"/>
    <w:rsid w:val="00900119"/>
    <w:rsid w:val="0090271F"/>
    <w:rsid w:val="00902E23"/>
    <w:rsid w:val="00910CDE"/>
    <w:rsid w:val="009114D7"/>
    <w:rsid w:val="0091348E"/>
    <w:rsid w:val="00917CCB"/>
    <w:rsid w:val="00930E92"/>
    <w:rsid w:val="00942EC2"/>
    <w:rsid w:val="009B1790"/>
    <w:rsid w:val="009B5D22"/>
    <w:rsid w:val="009E56A5"/>
    <w:rsid w:val="009F37B7"/>
    <w:rsid w:val="009F5E43"/>
    <w:rsid w:val="009F6942"/>
    <w:rsid w:val="00A10F02"/>
    <w:rsid w:val="00A1288A"/>
    <w:rsid w:val="00A164B4"/>
    <w:rsid w:val="00A26956"/>
    <w:rsid w:val="00A35167"/>
    <w:rsid w:val="00A53724"/>
    <w:rsid w:val="00A61086"/>
    <w:rsid w:val="00A73129"/>
    <w:rsid w:val="00A82346"/>
    <w:rsid w:val="00A92BA1"/>
    <w:rsid w:val="00AA25B9"/>
    <w:rsid w:val="00AB702D"/>
    <w:rsid w:val="00AC6BC6"/>
    <w:rsid w:val="00AE3797"/>
    <w:rsid w:val="00B02A63"/>
    <w:rsid w:val="00B070F5"/>
    <w:rsid w:val="00B14070"/>
    <w:rsid w:val="00B1491E"/>
    <w:rsid w:val="00B15449"/>
    <w:rsid w:val="00B322A5"/>
    <w:rsid w:val="00B407FA"/>
    <w:rsid w:val="00B45A10"/>
    <w:rsid w:val="00B57BD6"/>
    <w:rsid w:val="00B60EF4"/>
    <w:rsid w:val="00B74136"/>
    <w:rsid w:val="00B7575B"/>
    <w:rsid w:val="00B83A1B"/>
    <w:rsid w:val="00B91E0A"/>
    <w:rsid w:val="00B93086"/>
    <w:rsid w:val="00B96E14"/>
    <w:rsid w:val="00BA19ED"/>
    <w:rsid w:val="00BA300B"/>
    <w:rsid w:val="00BA4B8D"/>
    <w:rsid w:val="00BC0F7D"/>
    <w:rsid w:val="00BC5D15"/>
    <w:rsid w:val="00BD703A"/>
    <w:rsid w:val="00BE3255"/>
    <w:rsid w:val="00BF128E"/>
    <w:rsid w:val="00BF3168"/>
    <w:rsid w:val="00C1496A"/>
    <w:rsid w:val="00C24043"/>
    <w:rsid w:val="00C2756E"/>
    <w:rsid w:val="00C33079"/>
    <w:rsid w:val="00C36C3C"/>
    <w:rsid w:val="00C40AE9"/>
    <w:rsid w:val="00C45231"/>
    <w:rsid w:val="00C72833"/>
    <w:rsid w:val="00C80CBC"/>
    <w:rsid w:val="00C80F1D"/>
    <w:rsid w:val="00C87B78"/>
    <w:rsid w:val="00C93F40"/>
    <w:rsid w:val="00C95C80"/>
    <w:rsid w:val="00CA0623"/>
    <w:rsid w:val="00CA3D0C"/>
    <w:rsid w:val="00CA52C9"/>
    <w:rsid w:val="00CA76D3"/>
    <w:rsid w:val="00CD651B"/>
    <w:rsid w:val="00CF20E3"/>
    <w:rsid w:val="00CF2841"/>
    <w:rsid w:val="00D27EF9"/>
    <w:rsid w:val="00D309CC"/>
    <w:rsid w:val="00D326E6"/>
    <w:rsid w:val="00D3306F"/>
    <w:rsid w:val="00D46431"/>
    <w:rsid w:val="00D56A52"/>
    <w:rsid w:val="00D57972"/>
    <w:rsid w:val="00D675A9"/>
    <w:rsid w:val="00D738D6"/>
    <w:rsid w:val="00D75169"/>
    <w:rsid w:val="00D755EB"/>
    <w:rsid w:val="00D87E00"/>
    <w:rsid w:val="00D9134D"/>
    <w:rsid w:val="00DA7A03"/>
    <w:rsid w:val="00DB1818"/>
    <w:rsid w:val="00DC309B"/>
    <w:rsid w:val="00DC4DA2"/>
    <w:rsid w:val="00DC64F5"/>
    <w:rsid w:val="00DD4C17"/>
    <w:rsid w:val="00DE439B"/>
    <w:rsid w:val="00DF2B1F"/>
    <w:rsid w:val="00DF4EB8"/>
    <w:rsid w:val="00DF6189"/>
    <w:rsid w:val="00DF62CD"/>
    <w:rsid w:val="00E16509"/>
    <w:rsid w:val="00E16F56"/>
    <w:rsid w:val="00E2539D"/>
    <w:rsid w:val="00E44582"/>
    <w:rsid w:val="00E52814"/>
    <w:rsid w:val="00E64E5C"/>
    <w:rsid w:val="00E72324"/>
    <w:rsid w:val="00E72ABE"/>
    <w:rsid w:val="00E76592"/>
    <w:rsid w:val="00E77645"/>
    <w:rsid w:val="00E84623"/>
    <w:rsid w:val="00E85B4F"/>
    <w:rsid w:val="00EC4A25"/>
    <w:rsid w:val="00EE5AA7"/>
    <w:rsid w:val="00EE7CDF"/>
    <w:rsid w:val="00EF3FEB"/>
    <w:rsid w:val="00F025A2"/>
    <w:rsid w:val="00F04712"/>
    <w:rsid w:val="00F10FE8"/>
    <w:rsid w:val="00F145F8"/>
    <w:rsid w:val="00F21311"/>
    <w:rsid w:val="00F22EC7"/>
    <w:rsid w:val="00F270AF"/>
    <w:rsid w:val="00F325C8"/>
    <w:rsid w:val="00F43FA5"/>
    <w:rsid w:val="00F55548"/>
    <w:rsid w:val="00F57695"/>
    <w:rsid w:val="00F62AEB"/>
    <w:rsid w:val="00F653B8"/>
    <w:rsid w:val="00F70647"/>
    <w:rsid w:val="00F8596B"/>
    <w:rsid w:val="00FA1266"/>
    <w:rsid w:val="00FA41D2"/>
    <w:rsid w:val="00FC1192"/>
    <w:rsid w:val="00FD7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0FE8"/>
    <w:rPr>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261491"/>
    <w:pPr>
      <w:spacing w:after="180"/>
      <w:ind w:left="568" w:hanging="284"/>
    </w:pPr>
    <w:rPr>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styleId="NormalWeb">
    <w:name w:val="Normal (Web)"/>
    <w:basedOn w:val="Normal"/>
    <w:uiPriority w:val="99"/>
    <w:unhideWhenUsed/>
    <w:rsid w:val="00B407FA"/>
    <w:pPr>
      <w:spacing w:before="100" w:beforeAutospacing="1" w:after="100" w:afterAutospacing="1"/>
    </w:pPr>
  </w:style>
  <w:style w:type="paragraph" w:styleId="Caption">
    <w:name w:val="caption"/>
    <w:basedOn w:val="Normal"/>
    <w:next w:val="Normal"/>
    <w:unhideWhenUsed/>
    <w:qFormat/>
    <w:rsid w:val="00150B37"/>
    <w:pPr>
      <w:spacing w:after="200"/>
    </w:pPr>
    <w:rPr>
      <w:i/>
      <w:iCs/>
      <w:color w:val="44546A" w:themeColor="text2"/>
      <w:sz w:val="18"/>
      <w:szCs w:val="18"/>
      <w:lang w:val="en-GB"/>
    </w:rPr>
  </w:style>
  <w:style w:type="character" w:customStyle="1" w:styleId="TACChar">
    <w:name w:val="TAC Char"/>
    <w:link w:val="TAC"/>
    <w:qFormat/>
    <w:rsid w:val="001952DB"/>
    <w:rPr>
      <w:rFonts w:ascii="Arial" w:hAnsi="Arial"/>
      <w:sz w:val="18"/>
      <w:lang w:eastAsia="en-US"/>
    </w:rPr>
  </w:style>
  <w:style w:type="character" w:customStyle="1" w:styleId="TAHCar">
    <w:name w:val="TAH Car"/>
    <w:link w:val="TAH"/>
    <w:qFormat/>
    <w:rsid w:val="001952DB"/>
    <w:rPr>
      <w:rFonts w:ascii="Arial" w:hAnsi="Arial"/>
      <w:b/>
      <w:sz w:val="18"/>
      <w:lang w:eastAsia="en-US"/>
    </w:rPr>
  </w:style>
  <w:style w:type="character" w:customStyle="1" w:styleId="THChar">
    <w:name w:val="TH Char"/>
    <w:link w:val="TH"/>
    <w:rsid w:val="001952DB"/>
    <w:rPr>
      <w:rFonts w:ascii="Arial" w:hAnsi="Arial"/>
      <w:b/>
      <w:lang w:eastAsia="en-US"/>
    </w:rPr>
  </w:style>
  <w:style w:type="character" w:customStyle="1" w:styleId="TANChar">
    <w:name w:val="TAN Char"/>
    <w:link w:val="TAN"/>
    <w:rsid w:val="009F6942"/>
    <w:rPr>
      <w:rFonts w:ascii="Arial" w:hAnsi="Arial"/>
      <w:sz w:val="18"/>
      <w:lang w:eastAsia="en-US"/>
    </w:rPr>
  </w:style>
  <w:style w:type="character" w:customStyle="1" w:styleId="TALCar">
    <w:name w:val="TAL Car"/>
    <w:link w:val="TAL"/>
    <w:qFormat/>
    <w:rsid w:val="009F6942"/>
    <w:rPr>
      <w:rFonts w:ascii="Arial" w:hAnsi="Arial"/>
      <w:sz w:val="18"/>
      <w:lang w:eastAsia="en-US"/>
    </w:rPr>
  </w:style>
  <w:style w:type="character" w:customStyle="1" w:styleId="Heading1Char">
    <w:name w:val="Heading 1 Char"/>
    <w:basedOn w:val="DefaultParagraphFont"/>
    <w:link w:val="Heading1"/>
    <w:rsid w:val="00244940"/>
    <w:rPr>
      <w:rFonts w:ascii="Arial" w:hAnsi="Arial"/>
      <w:sz w:val="36"/>
      <w:lang w:eastAsia="en-US"/>
    </w:rPr>
  </w:style>
  <w:style w:type="paragraph" w:styleId="ListParagraph">
    <w:name w:val="List Paragraph"/>
    <w:basedOn w:val="Normal"/>
    <w:uiPriority w:val="34"/>
    <w:qFormat/>
    <w:rsid w:val="00682F97"/>
    <w:pPr>
      <w:ind w:firstLineChars="200" w:firstLine="420"/>
    </w:pPr>
    <w:rPr>
      <w:rFonts w:ascii="SimSun" w:eastAsia="SimSun" w:hAnsi="SimSun" w:cs="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61800">
      <w:bodyDiv w:val="1"/>
      <w:marLeft w:val="0"/>
      <w:marRight w:val="0"/>
      <w:marTop w:val="0"/>
      <w:marBottom w:val="0"/>
      <w:divBdr>
        <w:top w:val="none" w:sz="0" w:space="0" w:color="auto"/>
        <w:left w:val="none" w:sz="0" w:space="0" w:color="auto"/>
        <w:bottom w:val="none" w:sz="0" w:space="0" w:color="auto"/>
        <w:right w:val="none" w:sz="0" w:space="0" w:color="auto"/>
      </w:divBdr>
      <w:divsChild>
        <w:div w:id="1076174554">
          <w:marLeft w:val="547"/>
          <w:marRight w:val="0"/>
          <w:marTop w:val="115"/>
          <w:marBottom w:val="0"/>
          <w:divBdr>
            <w:top w:val="none" w:sz="0" w:space="0" w:color="auto"/>
            <w:left w:val="none" w:sz="0" w:space="0" w:color="auto"/>
            <w:bottom w:val="none" w:sz="0" w:space="0" w:color="auto"/>
            <w:right w:val="none" w:sz="0" w:space="0" w:color="auto"/>
          </w:divBdr>
        </w:div>
        <w:div w:id="1888835098">
          <w:marLeft w:val="1166"/>
          <w:marRight w:val="0"/>
          <w:marTop w:val="96"/>
          <w:marBottom w:val="0"/>
          <w:divBdr>
            <w:top w:val="none" w:sz="0" w:space="0" w:color="auto"/>
            <w:left w:val="none" w:sz="0" w:space="0" w:color="auto"/>
            <w:bottom w:val="none" w:sz="0" w:space="0" w:color="auto"/>
            <w:right w:val="none" w:sz="0" w:space="0" w:color="auto"/>
          </w:divBdr>
        </w:div>
        <w:div w:id="1940332558">
          <w:marLeft w:val="1800"/>
          <w:marRight w:val="0"/>
          <w:marTop w:val="86"/>
          <w:marBottom w:val="0"/>
          <w:divBdr>
            <w:top w:val="none" w:sz="0" w:space="0" w:color="auto"/>
            <w:left w:val="none" w:sz="0" w:space="0" w:color="auto"/>
            <w:bottom w:val="none" w:sz="0" w:space="0" w:color="auto"/>
            <w:right w:val="none" w:sz="0" w:space="0" w:color="auto"/>
          </w:divBdr>
        </w:div>
        <w:div w:id="201016886">
          <w:marLeft w:val="1800"/>
          <w:marRight w:val="0"/>
          <w:marTop w:val="86"/>
          <w:marBottom w:val="0"/>
          <w:divBdr>
            <w:top w:val="none" w:sz="0" w:space="0" w:color="auto"/>
            <w:left w:val="none" w:sz="0" w:space="0" w:color="auto"/>
            <w:bottom w:val="none" w:sz="0" w:space="0" w:color="auto"/>
            <w:right w:val="none" w:sz="0" w:space="0" w:color="auto"/>
          </w:divBdr>
        </w:div>
      </w:divsChild>
    </w:div>
    <w:div w:id="590814051">
      <w:bodyDiv w:val="1"/>
      <w:marLeft w:val="0"/>
      <w:marRight w:val="0"/>
      <w:marTop w:val="0"/>
      <w:marBottom w:val="0"/>
      <w:divBdr>
        <w:top w:val="none" w:sz="0" w:space="0" w:color="auto"/>
        <w:left w:val="none" w:sz="0" w:space="0" w:color="auto"/>
        <w:bottom w:val="none" w:sz="0" w:space="0" w:color="auto"/>
        <w:right w:val="none" w:sz="0" w:space="0" w:color="auto"/>
      </w:divBdr>
    </w:div>
    <w:div w:id="597636631">
      <w:bodyDiv w:val="1"/>
      <w:marLeft w:val="0"/>
      <w:marRight w:val="0"/>
      <w:marTop w:val="0"/>
      <w:marBottom w:val="0"/>
      <w:divBdr>
        <w:top w:val="none" w:sz="0" w:space="0" w:color="auto"/>
        <w:left w:val="none" w:sz="0" w:space="0" w:color="auto"/>
        <w:bottom w:val="none" w:sz="0" w:space="0" w:color="auto"/>
        <w:right w:val="none" w:sz="0" w:space="0" w:color="auto"/>
      </w:divBdr>
    </w:div>
    <w:div w:id="615065459">
      <w:bodyDiv w:val="1"/>
      <w:marLeft w:val="0"/>
      <w:marRight w:val="0"/>
      <w:marTop w:val="0"/>
      <w:marBottom w:val="0"/>
      <w:divBdr>
        <w:top w:val="none" w:sz="0" w:space="0" w:color="auto"/>
        <w:left w:val="none" w:sz="0" w:space="0" w:color="auto"/>
        <w:bottom w:val="none" w:sz="0" w:space="0" w:color="auto"/>
        <w:right w:val="none" w:sz="0" w:space="0" w:color="auto"/>
      </w:divBdr>
    </w:div>
    <w:div w:id="830754071">
      <w:bodyDiv w:val="1"/>
      <w:marLeft w:val="0"/>
      <w:marRight w:val="0"/>
      <w:marTop w:val="0"/>
      <w:marBottom w:val="0"/>
      <w:divBdr>
        <w:top w:val="none" w:sz="0" w:space="0" w:color="auto"/>
        <w:left w:val="none" w:sz="0" w:space="0" w:color="auto"/>
        <w:bottom w:val="none" w:sz="0" w:space="0" w:color="auto"/>
        <w:right w:val="none" w:sz="0" w:space="0" w:color="auto"/>
      </w:divBdr>
    </w:div>
    <w:div w:id="1086225548">
      <w:bodyDiv w:val="1"/>
      <w:marLeft w:val="0"/>
      <w:marRight w:val="0"/>
      <w:marTop w:val="0"/>
      <w:marBottom w:val="0"/>
      <w:divBdr>
        <w:top w:val="none" w:sz="0" w:space="0" w:color="auto"/>
        <w:left w:val="none" w:sz="0" w:space="0" w:color="auto"/>
        <w:bottom w:val="none" w:sz="0" w:space="0" w:color="auto"/>
        <w:right w:val="none" w:sz="0" w:space="0" w:color="auto"/>
      </w:divBdr>
      <w:divsChild>
        <w:div w:id="706835726">
          <w:marLeft w:val="547"/>
          <w:marRight w:val="0"/>
          <w:marTop w:val="115"/>
          <w:marBottom w:val="0"/>
          <w:divBdr>
            <w:top w:val="none" w:sz="0" w:space="0" w:color="auto"/>
            <w:left w:val="none" w:sz="0" w:space="0" w:color="auto"/>
            <w:bottom w:val="none" w:sz="0" w:space="0" w:color="auto"/>
            <w:right w:val="none" w:sz="0" w:space="0" w:color="auto"/>
          </w:divBdr>
        </w:div>
        <w:div w:id="34669323">
          <w:marLeft w:val="1166"/>
          <w:marRight w:val="0"/>
          <w:marTop w:val="96"/>
          <w:marBottom w:val="0"/>
          <w:divBdr>
            <w:top w:val="none" w:sz="0" w:space="0" w:color="auto"/>
            <w:left w:val="none" w:sz="0" w:space="0" w:color="auto"/>
            <w:bottom w:val="none" w:sz="0" w:space="0" w:color="auto"/>
            <w:right w:val="none" w:sz="0" w:space="0" w:color="auto"/>
          </w:divBdr>
        </w:div>
        <w:div w:id="1371876977">
          <w:marLeft w:val="1800"/>
          <w:marRight w:val="0"/>
          <w:marTop w:val="86"/>
          <w:marBottom w:val="0"/>
          <w:divBdr>
            <w:top w:val="none" w:sz="0" w:space="0" w:color="auto"/>
            <w:left w:val="none" w:sz="0" w:space="0" w:color="auto"/>
            <w:bottom w:val="none" w:sz="0" w:space="0" w:color="auto"/>
            <w:right w:val="none" w:sz="0" w:space="0" w:color="auto"/>
          </w:divBdr>
        </w:div>
        <w:div w:id="651981373">
          <w:marLeft w:val="1800"/>
          <w:marRight w:val="0"/>
          <w:marTop w:val="86"/>
          <w:marBottom w:val="0"/>
          <w:divBdr>
            <w:top w:val="none" w:sz="0" w:space="0" w:color="auto"/>
            <w:left w:val="none" w:sz="0" w:space="0" w:color="auto"/>
            <w:bottom w:val="none" w:sz="0" w:space="0" w:color="auto"/>
            <w:right w:val="none" w:sz="0" w:space="0" w:color="auto"/>
          </w:divBdr>
        </w:div>
      </w:divsChild>
    </w:div>
    <w:div w:id="1380474881">
      <w:bodyDiv w:val="1"/>
      <w:marLeft w:val="0"/>
      <w:marRight w:val="0"/>
      <w:marTop w:val="0"/>
      <w:marBottom w:val="0"/>
      <w:divBdr>
        <w:top w:val="none" w:sz="0" w:space="0" w:color="auto"/>
        <w:left w:val="none" w:sz="0" w:space="0" w:color="auto"/>
        <w:bottom w:val="none" w:sz="0" w:space="0" w:color="auto"/>
        <w:right w:val="none" w:sz="0" w:space="0" w:color="auto"/>
      </w:divBdr>
    </w:div>
    <w:div w:id="1464421299">
      <w:bodyDiv w:val="1"/>
      <w:marLeft w:val="0"/>
      <w:marRight w:val="0"/>
      <w:marTop w:val="0"/>
      <w:marBottom w:val="0"/>
      <w:divBdr>
        <w:top w:val="none" w:sz="0" w:space="0" w:color="auto"/>
        <w:left w:val="none" w:sz="0" w:space="0" w:color="auto"/>
        <w:bottom w:val="none" w:sz="0" w:space="0" w:color="auto"/>
        <w:right w:val="none" w:sz="0" w:space="0" w:color="auto"/>
      </w:divBdr>
      <w:divsChild>
        <w:div w:id="1086151354">
          <w:marLeft w:val="547"/>
          <w:marRight w:val="0"/>
          <w:marTop w:val="96"/>
          <w:marBottom w:val="0"/>
          <w:divBdr>
            <w:top w:val="none" w:sz="0" w:space="0" w:color="auto"/>
            <w:left w:val="none" w:sz="0" w:space="0" w:color="auto"/>
            <w:bottom w:val="none" w:sz="0" w:space="0" w:color="auto"/>
            <w:right w:val="none" w:sz="0" w:space="0" w:color="auto"/>
          </w:divBdr>
        </w:div>
        <w:div w:id="200559803">
          <w:marLeft w:val="1166"/>
          <w:marRight w:val="0"/>
          <w:marTop w:val="86"/>
          <w:marBottom w:val="0"/>
          <w:divBdr>
            <w:top w:val="none" w:sz="0" w:space="0" w:color="auto"/>
            <w:left w:val="none" w:sz="0" w:space="0" w:color="auto"/>
            <w:bottom w:val="none" w:sz="0" w:space="0" w:color="auto"/>
            <w:right w:val="none" w:sz="0" w:space="0" w:color="auto"/>
          </w:divBdr>
        </w:div>
        <w:div w:id="1717241040">
          <w:marLeft w:val="1166"/>
          <w:marRight w:val="0"/>
          <w:marTop w:val="86"/>
          <w:marBottom w:val="0"/>
          <w:divBdr>
            <w:top w:val="none" w:sz="0" w:space="0" w:color="auto"/>
            <w:left w:val="none" w:sz="0" w:space="0" w:color="auto"/>
            <w:bottom w:val="none" w:sz="0" w:space="0" w:color="auto"/>
            <w:right w:val="none" w:sz="0" w:space="0" w:color="auto"/>
          </w:divBdr>
        </w:div>
        <w:div w:id="1812483750">
          <w:marLeft w:val="547"/>
          <w:marRight w:val="0"/>
          <w:marTop w:val="96"/>
          <w:marBottom w:val="0"/>
          <w:divBdr>
            <w:top w:val="none" w:sz="0" w:space="0" w:color="auto"/>
            <w:left w:val="none" w:sz="0" w:space="0" w:color="auto"/>
            <w:bottom w:val="none" w:sz="0" w:space="0" w:color="auto"/>
            <w:right w:val="none" w:sz="0" w:space="0" w:color="auto"/>
          </w:divBdr>
        </w:div>
        <w:div w:id="620914204">
          <w:marLeft w:val="1166"/>
          <w:marRight w:val="0"/>
          <w:marTop w:val="86"/>
          <w:marBottom w:val="0"/>
          <w:divBdr>
            <w:top w:val="none" w:sz="0" w:space="0" w:color="auto"/>
            <w:left w:val="none" w:sz="0" w:space="0" w:color="auto"/>
            <w:bottom w:val="none" w:sz="0" w:space="0" w:color="auto"/>
            <w:right w:val="none" w:sz="0" w:space="0" w:color="auto"/>
          </w:divBdr>
        </w:div>
      </w:divsChild>
    </w:div>
    <w:div w:id="1497574123">
      <w:bodyDiv w:val="1"/>
      <w:marLeft w:val="0"/>
      <w:marRight w:val="0"/>
      <w:marTop w:val="0"/>
      <w:marBottom w:val="0"/>
      <w:divBdr>
        <w:top w:val="none" w:sz="0" w:space="0" w:color="auto"/>
        <w:left w:val="none" w:sz="0" w:space="0" w:color="auto"/>
        <w:bottom w:val="none" w:sz="0" w:space="0" w:color="auto"/>
        <w:right w:val="none" w:sz="0" w:space="0" w:color="auto"/>
      </w:divBdr>
    </w:div>
    <w:div w:id="1527133485">
      <w:bodyDiv w:val="1"/>
      <w:marLeft w:val="0"/>
      <w:marRight w:val="0"/>
      <w:marTop w:val="0"/>
      <w:marBottom w:val="0"/>
      <w:divBdr>
        <w:top w:val="none" w:sz="0" w:space="0" w:color="auto"/>
        <w:left w:val="none" w:sz="0" w:space="0" w:color="auto"/>
        <w:bottom w:val="none" w:sz="0" w:space="0" w:color="auto"/>
        <w:right w:val="none" w:sz="0" w:space="0" w:color="auto"/>
      </w:divBdr>
    </w:div>
    <w:div w:id="1597327393">
      <w:bodyDiv w:val="1"/>
      <w:marLeft w:val="0"/>
      <w:marRight w:val="0"/>
      <w:marTop w:val="0"/>
      <w:marBottom w:val="0"/>
      <w:divBdr>
        <w:top w:val="none" w:sz="0" w:space="0" w:color="auto"/>
        <w:left w:val="none" w:sz="0" w:space="0" w:color="auto"/>
        <w:bottom w:val="none" w:sz="0" w:space="0" w:color="auto"/>
        <w:right w:val="none" w:sz="0" w:space="0" w:color="auto"/>
      </w:divBdr>
    </w:div>
    <w:div w:id="1844123861">
      <w:bodyDiv w:val="1"/>
      <w:marLeft w:val="0"/>
      <w:marRight w:val="0"/>
      <w:marTop w:val="0"/>
      <w:marBottom w:val="0"/>
      <w:divBdr>
        <w:top w:val="none" w:sz="0" w:space="0" w:color="auto"/>
        <w:left w:val="none" w:sz="0" w:space="0" w:color="auto"/>
        <w:bottom w:val="none" w:sz="0" w:space="0" w:color="auto"/>
        <w:right w:val="none" w:sz="0" w:space="0" w:color="auto"/>
      </w:divBdr>
      <w:divsChild>
        <w:div w:id="1802386280">
          <w:marLeft w:val="547"/>
          <w:marRight w:val="0"/>
          <w:marTop w:val="115"/>
          <w:marBottom w:val="0"/>
          <w:divBdr>
            <w:top w:val="none" w:sz="0" w:space="0" w:color="auto"/>
            <w:left w:val="none" w:sz="0" w:space="0" w:color="auto"/>
            <w:bottom w:val="none" w:sz="0" w:space="0" w:color="auto"/>
            <w:right w:val="none" w:sz="0" w:space="0" w:color="auto"/>
          </w:divBdr>
        </w:div>
        <w:div w:id="501941065">
          <w:marLeft w:val="1166"/>
          <w:marRight w:val="0"/>
          <w:marTop w:val="96"/>
          <w:marBottom w:val="0"/>
          <w:divBdr>
            <w:top w:val="none" w:sz="0" w:space="0" w:color="auto"/>
            <w:left w:val="none" w:sz="0" w:space="0" w:color="auto"/>
            <w:bottom w:val="none" w:sz="0" w:space="0" w:color="auto"/>
            <w:right w:val="none" w:sz="0" w:space="0" w:color="auto"/>
          </w:divBdr>
        </w:div>
        <w:div w:id="172378766">
          <w:marLeft w:val="1800"/>
          <w:marRight w:val="0"/>
          <w:marTop w:val="86"/>
          <w:marBottom w:val="0"/>
          <w:divBdr>
            <w:top w:val="none" w:sz="0" w:space="0" w:color="auto"/>
            <w:left w:val="none" w:sz="0" w:space="0" w:color="auto"/>
            <w:bottom w:val="none" w:sz="0" w:space="0" w:color="auto"/>
            <w:right w:val="none" w:sz="0" w:space="0" w:color="auto"/>
          </w:divBdr>
        </w:div>
        <w:div w:id="1211767996">
          <w:marLeft w:val="1800"/>
          <w:marRight w:val="0"/>
          <w:marTop w:val="86"/>
          <w:marBottom w:val="0"/>
          <w:divBdr>
            <w:top w:val="none" w:sz="0" w:space="0" w:color="auto"/>
            <w:left w:val="none" w:sz="0" w:space="0" w:color="auto"/>
            <w:bottom w:val="none" w:sz="0" w:space="0" w:color="auto"/>
            <w:right w:val="none" w:sz="0" w:space="0" w:color="auto"/>
          </w:divBdr>
        </w:div>
      </w:divsChild>
    </w:div>
    <w:div w:id="185764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B435-77EB-D149-9DE1-283121528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41</cp:revision>
  <cp:lastPrinted>2019-02-25T14:05:00Z</cp:lastPrinted>
  <dcterms:created xsi:type="dcterms:W3CDTF">2020-02-11T09:34:00Z</dcterms:created>
  <dcterms:modified xsi:type="dcterms:W3CDTF">2020-05-15T20:44:00Z</dcterms:modified>
  <cp:category/>
</cp:coreProperties>
</file>